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FACE" w14:textId="3EA9A9A7" w:rsidR="007736B9" w:rsidRPr="007736B9" w:rsidRDefault="007736B9" w:rsidP="00BF767A">
      <w:pPr>
        <w:spacing w:after="0" w:line="240" w:lineRule="auto"/>
        <w:jc w:val="center"/>
        <w:rPr>
          <w:b/>
        </w:rPr>
      </w:pPr>
      <w:r w:rsidRPr="007736B9">
        <w:rPr>
          <w:b/>
        </w:rPr>
        <w:t>CoC Board Minutes</w:t>
      </w:r>
    </w:p>
    <w:p w14:paraId="4CDBB691" w14:textId="2E3B80B4" w:rsidR="000F7A64" w:rsidRDefault="007E52D9" w:rsidP="00BF767A">
      <w:pPr>
        <w:spacing w:after="0" w:line="240" w:lineRule="auto"/>
        <w:jc w:val="center"/>
      </w:pPr>
      <w:r>
        <w:t>September</w:t>
      </w:r>
      <w:r w:rsidR="003C5CC7" w:rsidRPr="00535A46">
        <w:t xml:space="preserve"> </w:t>
      </w:r>
      <w:r w:rsidR="00AE5186">
        <w:t>2</w:t>
      </w:r>
      <w:r>
        <w:t>4</w:t>
      </w:r>
      <w:r w:rsidR="003C5CC7" w:rsidRPr="00535A46">
        <w:t xml:space="preserve">, 2018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5D3F5588" w:rsidR="000F7A64" w:rsidRDefault="002D0756" w:rsidP="0074050D">
      <w:pPr>
        <w:spacing w:after="0" w:line="240" w:lineRule="auto"/>
        <w:jc w:val="center"/>
      </w:pPr>
      <w:r>
        <w:t>305 W Broadway</w:t>
      </w:r>
      <w:r w:rsidR="002B3339">
        <w:t xml:space="preserve">, </w:t>
      </w:r>
      <w:r>
        <w:t xml:space="preserve">Room </w:t>
      </w:r>
    </w:p>
    <w:p w14:paraId="7185383E" w14:textId="44174DAE" w:rsidR="00BB5002" w:rsidRDefault="3F6C5F08" w:rsidP="0074050D">
      <w:pPr>
        <w:spacing w:after="0" w:line="240" w:lineRule="auto"/>
        <w:jc w:val="center"/>
      </w:pPr>
      <w:r>
        <w:t>Fort Worth, Texas 761</w:t>
      </w:r>
      <w:r w:rsidR="002D0756">
        <w:t>0</w:t>
      </w:r>
      <w:r w:rsidR="002B3339">
        <w:t>4</w:t>
      </w:r>
    </w:p>
    <w:p w14:paraId="226F75C3" w14:textId="77777777" w:rsidR="007736B9" w:rsidRDefault="007736B9" w:rsidP="000C4F83">
      <w:pPr>
        <w:spacing w:after="0" w:line="240" w:lineRule="auto"/>
      </w:pPr>
    </w:p>
    <w:p w14:paraId="181A5E05" w14:textId="77777777" w:rsidR="007E52D9" w:rsidRDefault="007E52D9" w:rsidP="007E52D9">
      <w:pPr>
        <w:spacing w:after="0" w:line="240" w:lineRule="auto"/>
        <w:rPr>
          <w:sz w:val="24"/>
          <w:szCs w:val="24"/>
        </w:rPr>
      </w:pPr>
      <w:r w:rsidRPr="00AD591C">
        <w:rPr>
          <w:sz w:val="24"/>
          <w:szCs w:val="24"/>
        </w:rPr>
        <w:t xml:space="preserve">Members Present (19): </w:t>
      </w:r>
      <w:r>
        <w:rPr>
          <w:sz w:val="24"/>
          <w:szCs w:val="24"/>
        </w:rPr>
        <w:t xml:space="preserve"> Victoria Farrar-Myers, Debby Kratky, Robyn </w:t>
      </w:r>
      <w:proofErr w:type="spellStart"/>
      <w:r>
        <w:rPr>
          <w:sz w:val="24"/>
          <w:szCs w:val="24"/>
        </w:rPr>
        <w:t>Michalove</w:t>
      </w:r>
      <w:proofErr w:type="spellEnd"/>
      <w:r>
        <w:rPr>
          <w:sz w:val="24"/>
          <w:szCs w:val="24"/>
        </w:rPr>
        <w:t xml:space="preserve">, Pat Jacob, Norbert White, TD Smyers, Shannon Spriggs, Tara Perez, Scott Rule, Deidre Brown, Artie Williams, James Tapscott, Toby Owen, Andy Miller, Mary Margaret </w:t>
      </w:r>
      <w:proofErr w:type="spellStart"/>
      <w:r>
        <w:rPr>
          <w:sz w:val="24"/>
          <w:szCs w:val="24"/>
        </w:rPr>
        <w:t>Lemmons</w:t>
      </w:r>
      <w:proofErr w:type="spellEnd"/>
      <w:r>
        <w:rPr>
          <w:sz w:val="24"/>
          <w:szCs w:val="24"/>
        </w:rPr>
        <w:t xml:space="preserve">, Jerome Johnson, Tori Sisk, Jason Hall, Gage </w:t>
      </w:r>
      <w:proofErr w:type="spellStart"/>
      <w:r>
        <w:rPr>
          <w:sz w:val="24"/>
          <w:szCs w:val="24"/>
        </w:rPr>
        <w:t>Yager</w:t>
      </w:r>
      <w:proofErr w:type="spellEnd"/>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7736B9">
        <w:trPr>
          <w:trHeight w:val="875"/>
        </w:trPr>
        <w:tc>
          <w:tcPr>
            <w:tcW w:w="3914" w:type="pct"/>
            <w:tcBorders>
              <w:bottom w:val="single" w:sz="4" w:space="0" w:color="auto"/>
            </w:tcBorders>
          </w:tcPr>
          <w:p w14:paraId="602D10CE" w14:textId="1F926A8C" w:rsidR="006155C5" w:rsidRPr="005C7C0E" w:rsidRDefault="3F6C5F08" w:rsidP="3F6C5F08">
            <w:pPr>
              <w:pStyle w:val="ListParagraph"/>
              <w:numPr>
                <w:ilvl w:val="0"/>
                <w:numId w:val="2"/>
              </w:numPr>
              <w:rPr>
                <w:b/>
                <w:bCs/>
              </w:rPr>
            </w:pPr>
            <w:bookmarkStart w:id="0" w:name="_Hlk525226098"/>
            <w:r w:rsidRPr="3F6C5F08">
              <w:rPr>
                <w:b/>
                <w:bCs/>
              </w:rPr>
              <w:t>Call to Order</w:t>
            </w:r>
            <w:r w:rsidR="000C4F83">
              <w:rPr>
                <w:b/>
                <w:bCs/>
              </w:rPr>
              <w:t>:</w:t>
            </w:r>
            <w:r w:rsidRPr="3F6C5F08">
              <w:rPr>
                <w:b/>
                <w:bCs/>
              </w:rPr>
              <w:t xml:space="preserve"> </w:t>
            </w:r>
            <w:r w:rsidR="000C4F83">
              <w:rPr>
                <w:b/>
                <w:bCs/>
              </w:rPr>
              <w:t>1:3</w:t>
            </w:r>
            <w:r w:rsidR="007E52D9">
              <w:rPr>
                <w:b/>
                <w:bCs/>
              </w:rPr>
              <w:t>9</w:t>
            </w:r>
            <w:r w:rsidR="000C4F83">
              <w:rPr>
                <w:b/>
                <w:bCs/>
              </w:rPr>
              <w:t>pm</w:t>
            </w:r>
          </w:p>
        </w:tc>
        <w:tc>
          <w:tcPr>
            <w:tcW w:w="1086" w:type="pct"/>
            <w:tcBorders>
              <w:bottom w:val="single" w:sz="4" w:space="0" w:color="auto"/>
            </w:tcBorders>
          </w:tcPr>
          <w:p w14:paraId="3BEA92DE" w14:textId="358BB77C" w:rsidR="006155C5" w:rsidRPr="007474D4" w:rsidRDefault="002D0756" w:rsidP="00513F01">
            <w:pPr>
              <w:contextualSpacing/>
            </w:pPr>
            <w:r>
              <w:t>Victoria Farrar-Myers</w:t>
            </w:r>
            <w:r w:rsidR="3F6C5F08">
              <w:t>,</w:t>
            </w:r>
            <w:r>
              <w:t xml:space="preserve"> </w:t>
            </w:r>
            <w:r w:rsidR="3F6C5F08">
              <w:t>Chair</w:t>
            </w:r>
          </w:p>
        </w:tc>
      </w:tr>
      <w:bookmarkEnd w:id="0"/>
      <w:tr w:rsidR="004451C8" w:rsidRPr="007474D4" w14:paraId="05E21773" w14:textId="77777777" w:rsidTr="00E824C4">
        <w:tc>
          <w:tcPr>
            <w:tcW w:w="3914" w:type="pct"/>
            <w:tcBorders>
              <w:top w:val="single" w:sz="4" w:space="0" w:color="auto"/>
              <w:bottom w:val="nil"/>
            </w:tcBorders>
          </w:tcPr>
          <w:p w14:paraId="73799DD1" w14:textId="4FBDA61A" w:rsidR="00966AF4" w:rsidRPr="007736B9" w:rsidRDefault="00966AF4" w:rsidP="007736B9">
            <w:pPr>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6481426F" w14:textId="340E4901" w:rsidR="0031635B" w:rsidRDefault="3F6C5F08" w:rsidP="0031635B">
            <w:pPr>
              <w:pStyle w:val="ListParagraph"/>
              <w:numPr>
                <w:ilvl w:val="1"/>
                <w:numId w:val="2"/>
              </w:numPr>
            </w:pPr>
            <w:r>
              <w:t>Tarrant County Homeless Coalition (TCHC)</w:t>
            </w:r>
          </w:p>
          <w:p w14:paraId="6A6701DA" w14:textId="0CBF0867" w:rsidR="007E52D9" w:rsidRPr="007E52D9" w:rsidRDefault="00D86F24" w:rsidP="007E52D9">
            <w:pPr>
              <w:pStyle w:val="ListParagraph"/>
              <w:ind w:left="1050"/>
            </w:pPr>
            <w:r w:rsidRPr="007E52D9">
              <w:t>-</w:t>
            </w:r>
            <w:r w:rsidR="007E52D9" w:rsidRPr="007E52D9">
              <w:t xml:space="preserve"> </w:t>
            </w:r>
            <w:r w:rsidR="007E52D9" w:rsidRPr="007E52D9">
              <w:t xml:space="preserve">The CoC System Modeling effort is underway; CoC NOFA was submitted successfully to HUD; HMIS data requirements are changing the annual AHAR to the LSA and will provide more in depth performance analysis on system data; the 100 day challenge kicked off on 9/10, effort to house 100 vets in 100 days; hope to declare end of vet homelessness in Spring 2019; Green River data warehouse contract executed. </w:t>
            </w:r>
          </w:p>
          <w:p w14:paraId="4DAA3AAB" w14:textId="6FDF73B6" w:rsidR="000C4F83" w:rsidRPr="00613CCC" w:rsidRDefault="000C4F83" w:rsidP="00D86F24">
            <w:pPr>
              <w:pStyle w:val="ListParagraph"/>
              <w:ind w:left="1440"/>
            </w:pPr>
          </w:p>
        </w:tc>
        <w:tc>
          <w:tcPr>
            <w:tcW w:w="1086" w:type="pct"/>
            <w:tcBorders>
              <w:top w:val="nil"/>
              <w:bottom w:val="nil"/>
            </w:tcBorders>
          </w:tcPr>
          <w:p w14:paraId="293A3000" w14:textId="0E8F0F43" w:rsidR="00241D69" w:rsidRDefault="00E8786B" w:rsidP="003B722D">
            <w:pPr>
              <w:contextualSpacing/>
            </w:pPr>
            <w:r>
              <w:t>McGhee</w:t>
            </w:r>
            <w:r w:rsidR="003C5CC7">
              <w:t xml:space="preserve"> </w:t>
            </w:r>
          </w:p>
          <w:p w14:paraId="76F313B5" w14:textId="77777777" w:rsidR="00FF2A1E" w:rsidRDefault="00FF2A1E" w:rsidP="003B722D">
            <w:pPr>
              <w:contextualSpacing/>
            </w:pPr>
          </w:p>
          <w:p w14:paraId="16998C30" w14:textId="3B478AC6" w:rsidR="00FF2A1E" w:rsidRPr="007474D4" w:rsidRDefault="00FF2A1E" w:rsidP="003B722D">
            <w:pPr>
              <w:contextualSpacing/>
            </w:pPr>
          </w:p>
        </w:tc>
      </w:tr>
      <w:tr w:rsidR="00F13AC8" w:rsidRPr="007474D4" w14:paraId="68AB860E" w14:textId="77777777" w:rsidTr="00E824C4">
        <w:tc>
          <w:tcPr>
            <w:tcW w:w="3914" w:type="pct"/>
            <w:tcBorders>
              <w:top w:val="nil"/>
            </w:tcBorders>
          </w:tcPr>
          <w:p w14:paraId="76154CB1" w14:textId="77777777" w:rsidR="00F13AC8" w:rsidRPr="007E52D9" w:rsidRDefault="3F6C5F08" w:rsidP="007E52D9">
            <w:pPr>
              <w:pStyle w:val="ListParagraph"/>
              <w:numPr>
                <w:ilvl w:val="1"/>
                <w:numId w:val="2"/>
              </w:numPr>
            </w:pPr>
            <w:r w:rsidRPr="007E52D9">
              <w:t>Standing Committees</w:t>
            </w:r>
          </w:p>
          <w:p w14:paraId="1ADD9F24" w14:textId="7F73A8B6" w:rsidR="007E52D9" w:rsidRPr="007E52D9" w:rsidRDefault="3F6C5F08" w:rsidP="007E52D9">
            <w:pPr>
              <w:pStyle w:val="ListParagraph"/>
              <w:numPr>
                <w:ilvl w:val="2"/>
                <w:numId w:val="2"/>
              </w:numPr>
              <w:rPr>
                <w:rFonts w:asciiTheme="majorHAnsi" w:hAnsiTheme="majorHAnsi" w:cstheme="majorHAnsi"/>
              </w:rPr>
            </w:pPr>
            <w:r w:rsidRPr="007E52D9">
              <w:t>CoC Board Executive Committee</w:t>
            </w:r>
            <w:r w:rsidR="00532D28" w:rsidRPr="007E52D9">
              <w:t>- N</w:t>
            </w:r>
            <w:r w:rsidR="00DB03BD" w:rsidRPr="007E52D9">
              <w:t>o report</w:t>
            </w:r>
          </w:p>
          <w:p w14:paraId="131C4D20" w14:textId="77777777" w:rsidR="007E52D9" w:rsidRPr="007E52D9" w:rsidRDefault="007E52D9" w:rsidP="007E52D9">
            <w:pPr>
              <w:pStyle w:val="ListParagraph"/>
              <w:ind w:left="1080"/>
              <w:rPr>
                <w:rFonts w:asciiTheme="majorHAnsi" w:hAnsiTheme="majorHAnsi" w:cstheme="majorHAnsi"/>
              </w:rPr>
            </w:pPr>
          </w:p>
          <w:p w14:paraId="7103B273" w14:textId="0CC22BD3" w:rsidR="007E52D9" w:rsidRPr="007E52D9" w:rsidRDefault="00D86F24" w:rsidP="007E52D9">
            <w:pPr>
              <w:pStyle w:val="ListParagraph"/>
              <w:numPr>
                <w:ilvl w:val="2"/>
                <w:numId w:val="2"/>
              </w:numPr>
              <w:rPr>
                <w:rFonts w:asciiTheme="majorHAnsi" w:hAnsiTheme="majorHAnsi" w:cstheme="majorHAnsi"/>
              </w:rPr>
            </w:pPr>
            <w:r w:rsidRPr="007E52D9">
              <w:t xml:space="preserve"> </w:t>
            </w:r>
            <w:r w:rsidR="3F6C5F08" w:rsidRPr="007E52D9">
              <w:t>CoC Governance Committee</w:t>
            </w:r>
            <w:r w:rsidR="00DB03BD" w:rsidRPr="007E52D9">
              <w:t xml:space="preserve">- </w:t>
            </w:r>
            <w:r w:rsidR="007E52D9" w:rsidRPr="007E52D9">
              <w:t>Committee plans to revise CoC Policy &amp;Procedures and will oversee nominations process; committee will propose no new nominations until fall 2019 to allow all current officers a full year of service; the next cycle will need to focus on diversify</w:t>
            </w:r>
          </w:p>
          <w:p w14:paraId="1017E332" w14:textId="77777777" w:rsidR="007E52D9" w:rsidRPr="007E52D9" w:rsidRDefault="007E52D9" w:rsidP="007E52D9">
            <w:pPr>
              <w:pStyle w:val="ListParagraph"/>
              <w:ind w:left="1080"/>
              <w:rPr>
                <w:rFonts w:asciiTheme="majorHAnsi" w:hAnsiTheme="majorHAnsi" w:cstheme="majorHAnsi"/>
              </w:rPr>
            </w:pPr>
          </w:p>
          <w:p w14:paraId="45F835B6" w14:textId="3ADE9182" w:rsidR="002419CA" w:rsidRPr="007E52D9" w:rsidRDefault="3F6C5F08" w:rsidP="007E52D9">
            <w:pPr>
              <w:pStyle w:val="ListParagraph"/>
              <w:numPr>
                <w:ilvl w:val="2"/>
                <w:numId w:val="2"/>
              </w:numPr>
            </w:pPr>
            <w:r w:rsidRPr="007E52D9">
              <w:t>HMIS Governance Committee</w:t>
            </w:r>
            <w:r w:rsidR="00624C13" w:rsidRPr="007E52D9">
              <w:t>-</w:t>
            </w:r>
            <w:r w:rsidR="007E52D9" w:rsidRPr="007E52D9">
              <w:t xml:space="preserve"> Fee structure will remain same this year.  New user training is moving to online structure for CoC.</w:t>
            </w:r>
          </w:p>
          <w:p w14:paraId="7C69CA23" w14:textId="77777777" w:rsidR="007E52D9" w:rsidRPr="007E52D9" w:rsidRDefault="007E52D9" w:rsidP="007E52D9">
            <w:pPr>
              <w:pStyle w:val="ListParagraph"/>
              <w:ind w:left="1080"/>
            </w:pPr>
            <w:r w:rsidRPr="007E52D9">
              <w:t>Toby Owen: Will Green River allow TCHC to take ETO data to produce readable reports?</w:t>
            </w:r>
          </w:p>
          <w:p w14:paraId="017C91A3" w14:textId="77777777" w:rsidR="007E52D9" w:rsidRPr="007E52D9" w:rsidRDefault="007E52D9" w:rsidP="007E52D9">
            <w:pPr>
              <w:pStyle w:val="ListParagraph"/>
              <w:ind w:left="1080"/>
            </w:pPr>
            <w:r w:rsidRPr="007E52D9">
              <w:t>McGhee: There are 2 contracts, ETO to clean up the data, and Green River to automate CES process for better statistics and data, will speed up manual matching process; Green River will also provide data warehouse capacity will cross reference with other systems of care and produce better outcome reporting</w:t>
            </w:r>
          </w:p>
          <w:p w14:paraId="22EBC381" w14:textId="77777777" w:rsidR="007E52D9" w:rsidRPr="007E52D9" w:rsidRDefault="007E52D9" w:rsidP="007E52D9">
            <w:pPr>
              <w:pStyle w:val="ListParagraph"/>
              <w:ind w:left="1080"/>
            </w:pPr>
            <w:r w:rsidRPr="007E52D9">
              <w:t>Owen: Will this allow us to complete ESG reports without hoops?</w:t>
            </w:r>
          </w:p>
          <w:p w14:paraId="49B7E290" w14:textId="77777777" w:rsidR="007E52D9" w:rsidRPr="007E52D9" w:rsidRDefault="007E52D9" w:rsidP="007E52D9">
            <w:pPr>
              <w:pStyle w:val="ListParagraph"/>
              <w:ind w:left="1080"/>
            </w:pPr>
            <w:r w:rsidRPr="007E52D9">
              <w:t>McGhee: Our current contract with ETO should do that</w:t>
            </w:r>
          </w:p>
          <w:p w14:paraId="07810A03" w14:textId="75211779" w:rsidR="007E52D9" w:rsidRPr="007E52D9" w:rsidRDefault="007E52D9" w:rsidP="007E52D9">
            <w:pPr>
              <w:pStyle w:val="ListParagraph"/>
              <w:ind w:left="1080"/>
            </w:pPr>
            <w:r w:rsidRPr="007E52D9">
              <w:t xml:space="preserve">Owen: We’ve spent a lot of energy on HMIS over past few years and there has been a lot of disgruntlement over ETO, you took an objective </w:t>
            </w:r>
            <w:r w:rsidRPr="007E52D9">
              <w:lastRenderedPageBreak/>
              <w:t>approach and I see that it may not be ETO, using Green River will help get real info needed.  I hope this is solution, good work on all that</w:t>
            </w:r>
          </w:p>
          <w:p w14:paraId="2078D5AF" w14:textId="77777777" w:rsidR="007E52D9" w:rsidRPr="007E52D9" w:rsidRDefault="007E52D9" w:rsidP="007E52D9">
            <w:pPr>
              <w:ind w:left="1140"/>
            </w:pPr>
            <w:r w:rsidRPr="007E52D9">
              <w:t>Norbert White: Can the data be displayed differently? Samaritan House is 1.3% of errors – would like to compare improvement over time</w:t>
            </w:r>
          </w:p>
          <w:p w14:paraId="118E705A" w14:textId="77777777" w:rsidR="007E52D9" w:rsidRPr="007E52D9" w:rsidRDefault="007E52D9" w:rsidP="007E52D9">
            <w:pPr>
              <w:pStyle w:val="ListParagraph"/>
              <w:ind w:left="1080"/>
            </w:pPr>
          </w:p>
          <w:p w14:paraId="3C052D5A" w14:textId="77777777" w:rsidR="007E52D9" w:rsidRDefault="00E8786B" w:rsidP="007E52D9">
            <w:pPr>
              <w:pStyle w:val="ListParagraph"/>
              <w:numPr>
                <w:ilvl w:val="2"/>
                <w:numId w:val="2"/>
              </w:numPr>
            </w:pPr>
            <w:r w:rsidRPr="007E52D9">
              <w:t>Allocations</w:t>
            </w:r>
            <w:r w:rsidR="3F6C5F08" w:rsidRPr="007E52D9">
              <w:t xml:space="preserve"> Committee</w:t>
            </w:r>
            <w:r w:rsidR="00624C13" w:rsidRPr="007E52D9">
              <w:t>—</w:t>
            </w:r>
            <w:r w:rsidR="007E52D9">
              <w:rPr>
                <w:sz w:val="24"/>
                <w:szCs w:val="24"/>
              </w:rPr>
              <w:t xml:space="preserve"> </w:t>
            </w:r>
            <w:r w:rsidR="007E52D9" w:rsidRPr="007E52D9">
              <w:t>The committee met on 8/30/18 for the ranking meeting; reviewed the Allocations memo on competition</w:t>
            </w:r>
          </w:p>
          <w:p w14:paraId="629D427B" w14:textId="77777777" w:rsidR="007E52D9" w:rsidRDefault="007E52D9" w:rsidP="007E52D9">
            <w:pPr>
              <w:pStyle w:val="ListParagraph"/>
              <w:ind w:left="1080"/>
            </w:pPr>
          </w:p>
          <w:p w14:paraId="2292EA6F" w14:textId="2DA9B54E" w:rsidR="007E52D9" w:rsidRPr="007E52D9" w:rsidRDefault="3F6C5F08" w:rsidP="007E52D9">
            <w:pPr>
              <w:pStyle w:val="ListParagraph"/>
              <w:numPr>
                <w:ilvl w:val="2"/>
                <w:numId w:val="2"/>
              </w:numPr>
            </w:pPr>
            <w:r w:rsidRPr="007E52D9">
              <w:t>Improvement, Coordination, and Training Committee</w:t>
            </w:r>
            <w:r w:rsidR="00624C13" w:rsidRPr="007E52D9">
              <w:t>-</w:t>
            </w:r>
            <w:r w:rsidR="007E52D9" w:rsidRPr="007E52D9">
              <w:t xml:space="preserve"> </w:t>
            </w:r>
            <w:r w:rsidR="007E52D9" w:rsidRPr="007E52D9">
              <w:t>ICT will develop an ad hoc committee to establish the case manager institute</w:t>
            </w:r>
          </w:p>
          <w:p w14:paraId="5F28DE9C" w14:textId="10A84605" w:rsidR="00104462" w:rsidRPr="007E52D9" w:rsidRDefault="00104462" w:rsidP="000369F2">
            <w:pPr>
              <w:pStyle w:val="ListParagraph"/>
              <w:ind w:left="1080"/>
            </w:pPr>
          </w:p>
          <w:p w14:paraId="2674A2DD" w14:textId="6DB8CBEB" w:rsidR="001B0ACC" w:rsidRPr="007E52D9" w:rsidRDefault="000369F2" w:rsidP="007E52D9">
            <w:pPr>
              <w:pStyle w:val="ListParagraph"/>
              <w:numPr>
                <w:ilvl w:val="1"/>
                <w:numId w:val="2"/>
              </w:numPr>
            </w:pPr>
            <w:r w:rsidRPr="007E52D9">
              <w:t xml:space="preserve">Community Strategic Plan </w:t>
            </w:r>
          </w:p>
          <w:p w14:paraId="3D5D2B2B" w14:textId="596378D0" w:rsidR="002D0756" w:rsidRDefault="002D0756" w:rsidP="007E52D9">
            <w:pPr>
              <w:pStyle w:val="ListParagraph"/>
              <w:numPr>
                <w:ilvl w:val="2"/>
                <w:numId w:val="2"/>
              </w:numPr>
            </w:pPr>
            <w:r w:rsidRPr="007E52D9">
              <w:t>RFP responses</w:t>
            </w:r>
            <w:r w:rsidR="00624C13" w:rsidRPr="007E52D9">
              <w:t xml:space="preserve">- </w:t>
            </w:r>
            <w:r w:rsidR="007E52D9">
              <w:t>Plan, Timeline, and applicants reviewed</w:t>
            </w:r>
          </w:p>
          <w:p w14:paraId="20CEBB81" w14:textId="77777777" w:rsidR="007E52D9" w:rsidRPr="007E52D9" w:rsidRDefault="007E52D9" w:rsidP="007E52D9">
            <w:pPr>
              <w:pStyle w:val="ListParagraph"/>
              <w:ind w:left="1080"/>
            </w:pPr>
          </w:p>
          <w:p w14:paraId="4382A00F" w14:textId="01377680" w:rsidR="00AA7AC7" w:rsidRPr="007E52D9" w:rsidRDefault="002D0756" w:rsidP="007E52D9">
            <w:pPr>
              <w:pStyle w:val="ListParagraph"/>
              <w:numPr>
                <w:ilvl w:val="2"/>
                <w:numId w:val="2"/>
              </w:numPr>
            </w:pPr>
            <w:r w:rsidRPr="007E52D9">
              <w:t>Presentations</w:t>
            </w:r>
          </w:p>
          <w:p w14:paraId="4D1C6E6C" w14:textId="740F1221" w:rsidR="002D0756" w:rsidRPr="007E52D9" w:rsidRDefault="007E52D9" w:rsidP="007E52D9">
            <w:pPr>
              <w:pStyle w:val="ListParagraph"/>
              <w:numPr>
                <w:ilvl w:val="3"/>
                <w:numId w:val="2"/>
              </w:numPr>
              <w:spacing w:line="252" w:lineRule="auto"/>
              <w:rPr>
                <w:rFonts w:eastAsia="Times New Roman"/>
              </w:rPr>
            </w:pPr>
            <w:r>
              <w:rPr>
                <w:rFonts w:eastAsia="Times New Roman"/>
                <w:b/>
                <w:bCs/>
              </w:rPr>
              <w:t>City of Fort Worth</w:t>
            </w:r>
            <w:r w:rsidR="002D0756" w:rsidRPr="007E52D9">
              <w:rPr>
                <w:rFonts w:eastAsia="Times New Roman"/>
              </w:rPr>
              <w:t xml:space="preserve">- </w:t>
            </w:r>
            <w:r>
              <w:rPr>
                <w:rFonts w:eastAsia="Times New Roman"/>
              </w:rPr>
              <w:t>Affordable Housing Strategic Plan, Race &amp; Culture Taskforce, and Org Code Report</w:t>
            </w: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2A76E848" w14:textId="77777777" w:rsidR="007E52D9" w:rsidRDefault="007E52D9" w:rsidP="00513F01">
            <w:pPr>
              <w:contextualSpacing/>
            </w:pPr>
          </w:p>
          <w:p w14:paraId="4A110902" w14:textId="28FA6EBC" w:rsidR="00F81733" w:rsidRDefault="007E52D9" w:rsidP="00513F01">
            <w:pPr>
              <w:contextualSpacing/>
            </w:pPr>
            <w:r>
              <w:t>Smyers</w:t>
            </w:r>
          </w:p>
          <w:p w14:paraId="7DCC4684" w14:textId="77777777" w:rsidR="007E52D9" w:rsidRDefault="007E52D9" w:rsidP="00513F01">
            <w:pPr>
              <w:contextualSpacing/>
            </w:pPr>
          </w:p>
          <w:p w14:paraId="206F3442" w14:textId="77777777" w:rsidR="007E52D9" w:rsidRDefault="007E52D9" w:rsidP="00513F01">
            <w:pPr>
              <w:contextualSpacing/>
            </w:pPr>
          </w:p>
          <w:p w14:paraId="295703FA" w14:textId="77777777" w:rsidR="007E52D9" w:rsidRDefault="007E52D9" w:rsidP="00513F01">
            <w:pPr>
              <w:contextualSpacing/>
            </w:pPr>
          </w:p>
          <w:p w14:paraId="1C9F5E89" w14:textId="77777777" w:rsidR="007E52D9" w:rsidRDefault="007E52D9" w:rsidP="00513F01">
            <w:pPr>
              <w:contextualSpacing/>
            </w:pPr>
          </w:p>
          <w:p w14:paraId="5546133A" w14:textId="6C5BE64F" w:rsidR="00F81733" w:rsidRDefault="002B3339" w:rsidP="00513F01">
            <w:pPr>
              <w:contextualSpacing/>
            </w:pPr>
            <w:r>
              <w:t>Taft/Montgomery</w:t>
            </w:r>
          </w:p>
          <w:p w14:paraId="69F6D15F" w14:textId="77777777" w:rsidR="007736B9" w:rsidRDefault="007736B9" w:rsidP="00513F01">
            <w:pPr>
              <w:contextualSpacing/>
            </w:pPr>
          </w:p>
          <w:p w14:paraId="5734B85C" w14:textId="77777777" w:rsidR="007736B9" w:rsidRDefault="007736B9" w:rsidP="00513F01">
            <w:pPr>
              <w:contextualSpacing/>
            </w:pPr>
          </w:p>
          <w:p w14:paraId="17ADA2EC" w14:textId="17171EAA" w:rsidR="007736B9" w:rsidRDefault="007736B9" w:rsidP="00513F01">
            <w:pPr>
              <w:contextualSpacing/>
            </w:pPr>
          </w:p>
          <w:p w14:paraId="6D0024C4" w14:textId="398F5835" w:rsidR="007E52D9" w:rsidRDefault="007E52D9" w:rsidP="00513F01">
            <w:pPr>
              <w:contextualSpacing/>
            </w:pPr>
          </w:p>
          <w:p w14:paraId="4B37BD66" w14:textId="3469CB38" w:rsidR="007E52D9" w:rsidRDefault="007E52D9" w:rsidP="00513F01">
            <w:pPr>
              <w:contextualSpacing/>
            </w:pPr>
          </w:p>
          <w:p w14:paraId="59A60307" w14:textId="50CEFBA8" w:rsidR="007E52D9" w:rsidRDefault="007E52D9" w:rsidP="00513F01">
            <w:pPr>
              <w:contextualSpacing/>
            </w:pPr>
          </w:p>
          <w:p w14:paraId="2F994D40" w14:textId="27355556" w:rsidR="007E52D9" w:rsidRDefault="007E52D9" w:rsidP="00513F01">
            <w:pPr>
              <w:contextualSpacing/>
            </w:pPr>
          </w:p>
          <w:p w14:paraId="441789DA" w14:textId="56104038" w:rsidR="007E52D9" w:rsidRDefault="007E52D9" w:rsidP="00513F01">
            <w:pPr>
              <w:contextualSpacing/>
            </w:pPr>
          </w:p>
          <w:p w14:paraId="487C7DE2" w14:textId="6AF62343" w:rsidR="007E52D9" w:rsidRDefault="007E52D9" w:rsidP="00513F01">
            <w:pPr>
              <w:contextualSpacing/>
            </w:pPr>
          </w:p>
          <w:p w14:paraId="7FB3AB36" w14:textId="2ABC29C9" w:rsidR="007E52D9" w:rsidRDefault="007E52D9" w:rsidP="00513F01">
            <w:pPr>
              <w:contextualSpacing/>
            </w:pPr>
          </w:p>
          <w:p w14:paraId="0F9BBE8B" w14:textId="64E988A6" w:rsidR="007E52D9" w:rsidRDefault="007E52D9" w:rsidP="00513F01">
            <w:pPr>
              <w:contextualSpacing/>
            </w:pPr>
          </w:p>
          <w:p w14:paraId="6E2C444F" w14:textId="33457C24" w:rsidR="007E52D9" w:rsidRDefault="007E52D9" w:rsidP="00513F01">
            <w:pPr>
              <w:contextualSpacing/>
            </w:pPr>
          </w:p>
          <w:p w14:paraId="0BB84B38" w14:textId="382A6A87" w:rsidR="007E52D9" w:rsidRDefault="007E52D9" w:rsidP="00513F01">
            <w:pPr>
              <w:contextualSpacing/>
            </w:pPr>
          </w:p>
          <w:p w14:paraId="4E4585F3" w14:textId="5C308B00" w:rsidR="007E52D9" w:rsidRDefault="007E52D9" w:rsidP="00513F01">
            <w:pPr>
              <w:contextualSpacing/>
            </w:pPr>
          </w:p>
          <w:p w14:paraId="4D516307" w14:textId="4650F030" w:rsidR="007E52D9" w:rsidRDefault="007E52D9" w:rsidP="00513F01">
            <w:pPr>
              <w:contextualSpacing/>
            </w:pPr>
          </w:p>
          <w:p w14:paraId="2A1B49D0" w14:textId="73EB8B5F" w:rsidR="007E52D9" w:rsidRDefault="007E52D9" w:rsidP="00513F01">
            <w:pPr>
              <w:contextualSpacing/>
            </w:pPr>
          </w:p>
          <w:p w14:paraId="12DF3133" w14:textId="77777777" w:rsidR="007E52D9" w:rsidRDefault="007E52D9" w:rsidP="00513F01">
            <w:pPr>
              <w:contextualSpacing/>
            </w:pPr>
          </w:p>
          <w:p w14:paraId="204CCD9F" w14:textId="77777777" w:rsidR="007E52D9" w:rsidRDefault="007E52D9" w:rsidP="00513F01">
            <w:pPr>
              <w:contextualSpacing/>
            </w:pPr>
          </w:p>
          <w:p w14:paraId="35C544E0" w14:textId="176F34E4" w:rsidR="00CD4FBB" w:rsidRDefault="002B3339" w:rsidP="00513F01">
            <w:pPr>
              <w:contextualSpacing/>
            </w:pPr>
            <w:r>
              <w:t>Sisk/Johnson</w:t>
            </w:r>
          </w:p>
          <w:p w14:paraId="47F31AC4" w14:textId="77777777" w:rsidR="007736B9" w:rsidRDefault="007736B9" w:rsidP="000369F2">
            <w:pPr>
              <w:contextualSpacing/>
            </w:pPr>
          </w:p>
          <w:p w14:paraId="1CF50AC6" w14:textId="77777777" w:rsidR="007736B9" w:rsidRDefault="007736B9" w:rsidP="000369F2">
            <w:pPr>
              <w:contextualSpacing/>
            </w:pPr>
          </w:p>
          <w:p w14:paraId="11DF979D" w14:textId="7FAB0573" w:rsidR="001B0ACC" w:rsidRDefault="002B3339" w:rsidP="000369F2">
            <w:pPr>
              <w:contextualSpacing/>
            </w:pPr>
            <w:r>
              <w:t>Browne</w:t>
            </w:r>
          </w:p>
          <w:p w14:paraId="0298FD2A" w14:textId="77777777" w:rsidR="00F81733" w:rsidRDefault="00F81733" w:rsidP="000369F2">
            <w:pPr>
              <w:contextualSpacing/>
            </w:pPr>
          </w:p>
          <w:p w14:paraId="286E6D95" w14:textId="77777777" w:rsidR="007736B9" w:rsidRDefault="007736B9" w:rsidP="000369F2">
            <w:pPr>
              <w:contextualSpacing/>
            </w:pPr>
          </w:p>
          <w:p w14:paraId="45F6BF3C" w14:textId="77777777" w:rsidR="007736B9" w:rsidRDefault="007736B9" w:rsidP="000369F2">
            <w:pPr>
              <w:contextualSpacing/>
            </w:pPr>
          </w:p>
          <w:p w14:paraId="02C2C5A5" w14:textId="5466CFBC" w:rsidR="00AA7AC7" w:rsidRDefault="002D0756" w:rsidP="000369F2">
            <w:pPr>
              <w:contextualSpacing/>
            </w:pPr>
            <w:r>
              <w:t>Farrar-Myers</w:t>
            </w:r>
          </w:p>
          <w:p w14:paraId="2B7A93B8" w14:textId="1881BCD5" w:rsidR="007E52D9" w:rsidRDefault="007E52D9" w:rsidP="000369F2">
            <w:pPr>
              <w:contextualSpacing/>
            </w:pPr>
          </w:p>
          <w:p w14:paraId="4435F9B1" w14:textId="16389EEF" w:rsidR="007E52D9" w:rsidRDefault="007E52D9" w:rsidP="000369F2">
            <w:pPr>
              <w:contextualSpacing/>
            </w:pPr>
            <w:r>
              <w:t>Costa/ Perez</w:t>
            </w:r>
          </w:p>
          <w:p w14:paraId="74FF5A89" w14:textId="77777777" w:rsidR="002D0756" w:rsidRDefault="002D0756" w:rsidP="000369F2">
            <w:pPr>
              <w:contextualSpacing/>
            </w:pPr>
          </w:p>
          <w:p w14:paraId="4A38057D" w14:textId="77777777" w:rsidR="002D0756" w:rsidRDefault="002D0756" w:rsidP="000369F2">
            <w:pPr>
              <w:contextualSpacing/>
            </w:pPr>
          </w:p>
          <w:p w14:paraId="7542E683" w14:textId="77777777" w:rsidR="007736B9" w:rsidRDefault="007736B9" w:rsidP="000369F2">
            <w:pPr>
              <w:contextualSpacing/>
            </w:pPr>
          </w:p>
          <w:p w14:paraId="7620F031" w14:textId="073C3385"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lastRenderedPageBreak/>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64529798" w14:textId="77777777" w:rsidR="007E52D9" w:rsidRPr="007E52D9" w:rsidRDefault="00E03698" w:rsidP="007E52D9">
            <w:pPr>
              <w:pStyle w:val="ListParagraph"/>
              <w:numPr>
                <w:ilvl w:val="1"/>
                <w:numId w:val="2"/>
              </w:numPr>
              <w:rPr>
                <w:color w:val="0563C1" w:themeColor="hyperlink"/>
              </w:rPr>
            </w:pPr>
            <w:r>
              <w:t xml:space="preserve">Approval of CoC Board Meeting Minutes from </w:t>
            </w:r>
            <w:r w:rsidR="002D0756">
              <w:t>July</w:t>
            </w:r>
            <w:r>
              <w:t xml:space="preserve"> </w:t>
            </w:r>
            <w:r w:rsidR="002B3339">
              <w:t>2</w:t>
            </w:r>
            <w:r w:rsidR="002D0756">
              <w:t>7</w:t>
            </w:r>
            <w:r>
              <w:t>, 2018</w:t>
            </w:r>
          </w:p>
          <w:p w14:paraId="0FF2EEF2" w14:textId="0887FF1C" w:rsidR="00C4569D" w:rsidRPr="007E52D9" w:rsidRDefault="007E52D9" w:rsidP="007E52D9">
            <w:pPr>
              <w:pStyle w:val="ListParagraph"/>
              <w:numPr>
                <w:ilvl w:val="2"/>
                <w:numId w:val="2"/>
              </w:numPr>
              <w:rPr>
                <w:color w:val="0563C1" w:themeColor="hyperlink"/>
              </w:rPr>
            </w:pPr>
            <w:r>
              <w:t>James Tapscott</w:t>
            </w:r>
            <w:r w:rsidR="00C4569D" w:rsidRPr="00532D28">
              <w:t>: Motion to Approve</w:t>
            </w:r>
          </w:p>
          <w:p w14:paraId="1E62BA56" w14:textId="2A3CFD20" w:rsidR="00532D28" w:rsidRPr="00532D28" w:rsidRDefault="007E52D9" w:rsidP="007E52D9">
            <w:pPr>
              <w:pStyle w:val="ListParagraph"/>
              <w:numPr>
                <w:ilvl w:val="2"/>
                <w:numId w:val="2"/>
              </w:numPr>
            </w:pPr>
            <w:r>
              <w:t>Scott Rule</w:t>
            </w:r>
            <w:r w:rsidR="00532D28" w:rsidRPr="00532D28">
              <w:t>: Second</w:t>
            </w:r>
          </w:p>
          <w:p w14:paraId="4EA178FF" w14:textId="7B83DD3A" w:rsidR="00C4569D" w:rsidRPr="00532D28" w:rsidRDefault="00532D28" w:rsidP="007E52D9">
            <w:pPr>
              <w:pStyle w:val="ListParagraph"/>
              <w:numPr>
                <w:ilvl w:val="2"/>
                <w:numId w:val="2"/>
              </w:numPr>
            </w:pPr>
            <w:r w:rsidRPr="00532D28">
              <w:t>All Approved</w:t>
            </w:r>
          </w:p>
          <w:p w14:paraId="4BC9AE02" w14:textId="77777777" w:rsidR="007E52D9" w:rsidRDefault="007E52D9" w:rsidP="007E52D9">
            <w:pPr>
              <w:pStyle w:val="ListParagraph"/>
              <w:numPr>
                <w:ilvl w:val="1"/>
                <w:numId w:val="2"/>
              </w:numPr>
              <w:rPr>
                <w:sz w:val="24"/>
                <w:szCs w:val="24"/>
              </w:rPr>
            </w:pPr>
            <w:r w:rsidRPr="008E6384">
              <w:rPr>
                <w:sz w:val="24"/>
                <w:szCs w:val="24"/>
              </w:rPr>
              <w:t>Approval of Family Committee on Homelessness (ICT)</w:t>
            </w:r>
          </w:p>
          <w:p w14:paraId="13255E11" w14:textId="77777777" w:rsidR="007E52D9" w:rsidRDefault="007E52D9" w:rsidP="007E52D9">
            <w:pPr>
              <w:pStyle w:val="ListParagraph"/>
              <w:ind w:left="1080"/>
              <w:rPr>
                <w:sz w:val="24"/>
                <w:szCs w:val="24"/>
              </w:rPr>
            </w:pPr>
            <w:r>
              <w:rPr>
                <w:sz w:val="24"/>
                <w:szCs w:val="24"/>
              </w:rPr>
              <w:t>Jason Hall: Why are we voting on this here</w:t>
            </w:r>
          </w:p>
          <w:p w14:paraId="1B9675C3" w14:textId="21881ACB" w:rsidR="007E52D9" w:rsidRPr="007E52D9" w:rsidRDefault="007E52D9" w:rsidP="007E52D9">
            <w:pPr>
              <w:ind w:left="1080"/>
              <w:rPr>
                <w:sz w:val="24"/>
                <w:szCs w:val="24"/>
              </w:rPr>
            </w:pPr>
            <w:r w:rsidRPr="007E52D9">
              <w:rPr>
                <w:sz w:val="24"/>
                <w:szCs w:val="24"/>
              </w:rPr>
              <w:t xml:space="preserve">McGhee: It’s important in this situation to keep board informed, since it’s a subpopulation I wanted you to be informed, we have intentionally and purposefully </w:t>
            </w:r>
            <w:r w:rsidRPr="007E52D9">
              <w:rPr>
                <w:sz w:val="24"/>
                <w:szCs w:val="24"/>
              </w:rPr>
              <w:t>created</w:t>
            </w:r>
            <w:r w:rsidRPr="007E52D9">
              <w:rPr>
                <w:sz w:val="24"/>
                <w:szCs w:val="24"/>
              </w:rPr>
              <w:t xml:space="preserve"> this committee</w:t>
            </w:r>
          </w:p>
          <w:p w14:paraId="76308D88" w14:textId="77777777" w:rsidR="007E52D9" w:rsidRDefault="007E52D9" w:rsidP="007E52D9">
            <w:pPr>
              <w:pStyle w:val="ListParagraph"/>
              <w:ind w:left="1080"/>
              <w:rPr>
                <w:sz w:val="24"/>
                <w:szCs w:val="24"/>
              </w:rPr>
            </w:pPr>
            <w:r>
              <w:rPr>
                <w:sz w:val="24"/>
                <w:szCs w:val="24"/>
              </w:rPr>
              <w:t>Debby Kratky: The subgroup in the community already formed 18 months ago, want to include the CoC</w:t>
            </w:r>
          </w:p>
          <w:p w14:paraId="3FB2967D" w14:textId="77777777" w:rsidR="007E52D9" w:rsidRDefault="007E52D9" w:rsidP="007E52D9">
            <w:pPr>
              <w:pStyle w:val="ListParagraph"/>
              <w:ind w:left="1080"/>
              <w:rPr>
                <w:sz w:val="24"/>
                <w:szCs w:val="24"/>
              </w:rPr>
            </w:pPr>
            <w:r>
              <w:rPr>
                <w:sz w:val="24"/>
                <w:szCs w:val="24"/>
              </w:rPr>
              <w:t xml:space="preserve">Owen: This board needs to realize distinct definitions on how families are counted, important that this board understand we use specific definition to count family homelessness, we use HUD, the current subcommittee uses broad and different definition.  Huge difference in numbers, moving forward, we </w:t>
            </w:r>
            <w:proofErr w:type="gramStart"/>
            <w:r>
              <w:rPr>
                <w:sz w:val="24"/>
                <w:szCs w:val="24"/>
              </w:rPr>
              <w:t>have to</w:t>
            </w:r>
            <w:proofErr w:type="gramEnd"/>
            <w:r>
              <w:rPr>
                <w:sz w:val="24"/>
                <w:szCs w:val="24"/>
              </w:rPr>
              <w:t xml:space="preserve"> agree on definition for consistency, this can lead to significant problems in communication and accountability of numbers</w:t>
            </w:r>
          </w:p>
          <w:p w14:paraId="41440B75" w14:textId="7510D2AF" w:rsidR="007E52D9" w:rsidRDefault="007E52D9" w:rsidP="007E52D9">
            <w:pPr>
              <w:pStyle w:val="ListParagraph"/>
              <w:numPr>
                <w:ilvl w:val="2"/>
                <w:numId w:val="2"/>
              </w:numPr>
              <w:rPr>
                <w:sz w:val="24"/>
                <w:szCs w:val="24"/>
              </w:rPr>
            </w:pPr>
            <w:r>
              <w:rPr>
                <w:sz w:val="24"/>
                <w:szCs w:val="24"/>
              </w:rPr>
              <w:t>Jerome Johnson: Motion to Approve</w:t>
            </w:r>
          </w:p>
          <w:p w14:paraId="6A785D5F" w14:textId="487ABD53" w:rsidR="007E52D9" w:rsidRDefault="007E52D9" w:rsidP="007E52D9">
            <w:pPr>
              <w:pStyle w:val="ListParagraph"/>
              <w:numPr>
                <w:ilvl w:val="2"/>
                <w:numId w:val="2"/>
              </w:numPr>
              <w:rPr>
                <w:sz w:val="24"/>
                <w:szCs w:val="24"/>
              </w:rPr>
            </w:pPr>
            <w:r>
              <w:rPr>
                <w:sz w:val="24"/>
                <w:szCs w:val="24"/>
              </w:rPr>
              <w:t xml:space="preserve">Artie Williams: </w:t>
            </w:r>
            <w:r>
              <w:rPr>
                <w:sz w:val="24"/>
                <w:szCs w:val="24"/>
              </w:rPr>
              <w:t>Second</w:t>
            </w:r>
          </w:p>
          <w:p w14:paraId="26A2E57F" w14:textId="1919BED5" w:rsidR="007E52D9" w:rsidRDefault="007E52D9" w:rsidP="007E52D9">
            <w:pPr>
              <w:pStyle w:val="ListParagraph"/>
              <w:numPr>
                <w:ilvl w:val="2"/>
                <w:numId w:val="2"/>
              </w:numPr>
              <w:rPr>
                <w:sz w:val="24"/>
                <w:szCs w:val="24"/>
              </w:rPr>
            </w:pPr>
            <w:r w:rsidRPr="003C10E0">
              <w:rPr>
                <w:sz w:val="24"/>
                <w:szCs w:val="24"/>
              </w:rPr>
              <w:t>All approve</w:t>
            </w:r>
            <w:r>
              <w:rPr>
                <w:sz w:val="24"/>
                <w:szCs w:val="24"/>
              </w:rPr>
              <w:t>d</w:t>
            </w:r>
          </w:p>
          <w:p w14:paraId="4D168F32" w14:textId="77777777" w:rsidR="007E52D9" w:rsidRPr="007F1D62" w:rsidRDefault="007E52D9" w:rsidP="007E52D9">
            <w:pPr>
              <w:pStyle w:val="ListParagraph"/>
              <w:numPr>
                <w:ilvl w:val="1"/>
                <w:numId w:val="2"/>
              </w:numPr>
              <w:rPr>
                <w:sz w:val="24"/>
                <w:szCs w:val="24"/>
              </w:rPr>
            </w:pPr>
            <w:r>
              <w:rPr>
                <w:sz w:val="24"/>
                <w:szCs w:val="24"/>
              </w:rPr>
              <w:t>Joint TCHC &amp; CoC Board meeting to work through RFP, joint planning process for Oct</w:t>
            </w:r>
          </w:p>
          <w:p w14:paraId="0BBABDBC" w14:textId="77777777" w:rsidR="007E52D9" w:rsidRDefault="007E52D9" w:rsidP="007E52D9">
            <w:pPr>
              <w:pStyle w:val="ListParagraph"/>
              <w:ind w:left="1080"/>
              <w:rPr>
                <w:sz w:val="24"/>
                <w:szCs w:val="24"/>
              </w:rPr>
            </w:pPr>
          </w:p>
          <w:p w14:paraId="0D0C6987" w14:textId="1C57AEF9" w:rsidR="00B00B74" w:rsidRPr="002806D4" w:rsidRDefault="00B00B74" w:rsidP="002B3339">
            <w:pPr>
              <w:pStyle w:val="ListParagraph"/>
              <w:rPr>
                <w:color w:val="0563C1" w:themeColor="hyperlink"/>
              </w:rPr>
            </w:pP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44D250E3" w14:textId="3F472AA4" w:rsidR="00E03698" w:rsidRDefault="002D0756" w:rsidP="00513F01">
            <w:pPr>
              <w:contextualSpacing/>
            </w:pPr>
            <w:r>
              <w:lastRenderedPageBreak/>
              <w:t>Farrar-Myers</w:t>
            </w:r>
          </w:p>
          <w:p w14:paraId="0BC7C76F" w14:textId="77777777" w:rsidR="007736B9" w:rsidRDefault="007736B9" w:rsidP="00513F01">
            <w:pPr>
              <w:contextualSpacing/>
            </w:pPr>
          </w:p>
          <w:p w14:paraId="08039575" w14:textId="77777777" w:rsidR="007736B9" w:rsidRDefault="007736B9" w:rsidP="00513F01">
            <w:pPr>
              <w:contextualSpacing/>
            </w:pPr>
          </w:p>
          <w:p w14:paraId="0B9BA80D" w14:textId="77777777" w:rsidR="007736B9" w:rsidRDefault="007736B9" w:rsidP="00513F01">
            <w:pPr>
              <w:contextualSpacing/>
            </w:pPr>
          </w:p>
          <w:p w14:paraId="1AE0FC7F" w14:textId="0C895557" w:rsidR="00E03698" w:rsidRDefault="002D0756" w:rsidP="00513F01">
            <w:pPr>
              <w:contextualSpacing/>
            </w:pPr>
            <w:r>
              <w:t>Farrar-Myers</w:t>
            </w:r>
          </w:p>
          <w:p w14:paraId="6700FC2C" w14:textId="6AE05282" w:rsidR="005002E4" w:rsidRPr="007474D4" w:rsidRDefault="005002E4" w:rsidP="00513F01">
            <w:pPr>
              <w:contextualSpacing/>
            </w:pPr>
          </w:p>
        </w:tc>
      </w:tr>
      <w:tr w:rsidR="00122712" w:rsidRPr="007474D4" w14:paraId="32995757" w14:textId="77777777" w:rsidTr="00E824C4">
        <w:tc>
          <w:tcPr>
            <w:tcW w:w="3914" w:type="pct"/>
            <w:tcBorders>
              <w:top w:val="single" w:sz="4" w:space="0" w:color="auto"/>
            </w:tcBorders>
          </w:tcPr>
          <w:p w14:paraId="665A32A7" w14:textId="77777777" w:rsidR="00122712" w:rsidRDefault="00122712" w:rsidP="3F6C5F08">
            <w:pPr>
              <w:pStyle w:val="ListParagraph"/>
              <w:numPr>
                <w:ilvl w:val="0"/>
                <w:numId w:val="2"/>
              </w:numPr>
              <w:rPr>
                <w:b/>
                <w:bCs/>
              </w:rPr>
            </w:pPr>
            <w:r w:rsidRPr="3F6C5F08">
              <w:rPr>
                <w:b/>
                <w:bCs/>
              </w:rPr>
              <w:t>Request for Future Agenda Items</w:t>
            </w:r>
          </w:p>
          <w:p w14:paraId="738665CB" w14:textId="2AB5813F" w:rsidR="00532D28" w:rsidRPr="00532D28" w:rsidRDefault="007E52D9" w:rsidP="00532D28">
            <w:pPr>
              <w:pStyle w:val="ListParagraph"/>
              <w:ind w:left="360"/>
              <w:rPr>
                <w:bCs/>
              </w:rPr>
            </w:pPr>
            <w:r>
              <w:rPr>
                <w:bCs/>
              </w:rPr>
              <w:t>None</w:t>
            </w:r>
          </w:p>
        </w:tc>
        <w:tc>
          <w:tcPr>
            <w:tcW w:w="1086" w:type="pct"/>
            <w:tcBorders>
              <w:top w:val="single" w:sz="4" w:space="0" w:color="auto"/>
            </w:tcBorders>
          </w:tcPr>
          <w:p w14:paraId="05FC1409" w14:textId="3B037C05" w:rsidR="00122712" w:rsidRPr="007474D4" w:rsidRDefault="002D0756" w:rsidP="00513F01">
            <w:pPr>
              <w:contextualSpacing/>
            </w:pPr>
            <w:r>
              <w:t>Farrar-Myers</w:t>
            </w:r>
          </w:p>
        </w:tc>
      </w:tr>
      <w:tr w:rsidR="00122712" w:rsidRPr="007474D4" w14:paraId="3DE9992D" w14:textId="77777777" w:rsidTr="007736B9">
        <w:trPr>
          <w:trHeight w:val="397"/>
        </w:trPr>
        <w:tc>
          <w:tcPr>
            <w:tcW w:w="3914" w:type="pct"/>
            <w:tcBorders>
              <w:bottom w:val="single" w:sz="4" w:space="0" w:color="auto"/>
            </w:tcBorders>
          </w:tcPr>
          <w:p w14:paraId="0C5DFCA7" w14:textId="77777777" w:rsidR="007736B9" w:rsidRDefault="3F6C5F08" w:rsidP="00284CB7">
            <w:pPr>
              <w:pStyle w:val="ListParagraph"/>
              <w:numPr>
                <w:ilvl w:val="0"/>
                <w:numId w:val="2"/>
              </w:numPr>
              <w:rPr>
                <w:b/>
                <w:bCs/>
              </w:rPr>
            </w:pPr>
            <w:r w:rsidRPr="3F6C5F08">
              <w:rPr>
                <w:b/>
                <w:bCs/>
              </w:rPr>
              <w:t>Public Comment</w:t>
            </w:r>
          </w:p>
          <w:p w14:paraId="6833B29E" w14:textId="19E4F4D7" w:rsidR="00122712" w:rsidRPr="007736B9" w:rsidRDefault="007736B9" w:rsidP="007736B9">
            <w:pPr>
              <w:pStyle w:val="ListParagraph"/>
              <w:ind w:left="360"/>
              <w:rPr>
                <w:bCs/>
              </w:rPr>
            </w:pPr>
            <w:r w:rsidRPr="007736B9">
              <w:rPr>
                <w:bCs/>
              </w:rPr>
              <w:t>No Comment</w:t>
            </w:r>
            <w:r w:rsidR="3F6C5F08" w:rsidRPr="007736B9">
              <w:rPr>
                <w:bCs/>
              </w:rPr>
              <w:t xml:space="preserve"> </w:t>
            </w:r>
          </w:p>
          <w:p w14:paraId="3FB875AE" w14:textId="2A505E05" w:rsidR="007736B9" w:rsidRPr="00284CB7" w:rsidRDefault="007736B9" w:rsidP="007736B9">
            <w:pPr>
              <w:pStyle w:val="ListParagraph"/>
              <w:ind w:left="360"/>
              <w:rPr>
                <w:b/>
                <w:bCs/>
              </w:rPr>
            </w:pPr>
          </w:p>
        </w:tc>
        <w:tc>
          <w:tcPr>
            <w:tcW w:w="1086" w:type="pct"/>
            <w:tcBorders>
              <w:bottom w:val="single" w:sz="4" w:space="0" w:color="auto"/>
            </w:tcBorders>
          </w:tcPr>
          <w:p w14:paraId="22875C38" w14:textId="4634C5E5" w:rsidR="00122712" w:rsidRPr="007474D4" w:rsidRDefault="002D0756"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1279C80C" w14:textId="77777777" w:rsidR="00122712" w:rsidRDefault="00122712" w:rsidP="3F6C5F08">
            <w:pPr>
              <w:pStyle w:val="ListParagraph"/>
              <w:numPr>
                <w:ilvl w:val="0"/>
                <w:numId w:val="2"/>
              </w:numPr>
              <w:rPr>
                <w:b/>
                <w:bCs/>
              </w:rPr>
            </w:pPr>
            <w:r w:rsidRPr="3F6C5F08">
              <w:rPr>
                <w:b/>
                <w:bCs/>
              </w:rPr>
              <w:t>Adjournment</w:t>
            </w:r>
          </w:p>
          <w:p w14:paraId="45A61C1A" w14:textId="102C2901" w:rsidR="007736B9" w:rsidRPr="007736B9" w:rsidRDefault="007736B9" w:rsidP="007736B9">
            <w:pPr>
              <w:pStyle w:val="ListParagraph"/>
              <w:ind w:left="360"/>
              <w:rPr>
                <w:bCs/>
              </w:rPr>
            </w:pPr>
            <w:r w:rsidRPr="007736B9">
              <w:rPr>
                <w:bCs/>
              </w:rPr>
              <w:t>3:11pm</w:t>
            </w:r>
            <w:r w:rsidR="007E52D9">
              <w:rPr>
                <w:bCs/>
              </w:rPr>
              <w:tab/>
            </w:r>
            <w:bookmarkStart w:id="1" w:name="_GoBack"/>
            <w:bookmarkEnd w:id="1"/>
          </w:p>
        </w:tc>
        <w:tc>
          <w:tcPr>
            <w:tcW w:w="1086" w:type="pct"/>
            <w:tcBorders>
              <w:top w:val="single" w:sz="4" w:space="0" w:color="auto"/>
              <w:bottom w:val="single" w:sz="4" w:space="0" w:color="auto"/>
            </w:tcBorders>
          </w:tcPr>
          <w:p w14:paraId="1090F999" w14:textId="0448E049" w:rsidR="00122712" w:rsidRPr="007474D4" w:rsidRDefault="002D0756" w:rsidP="00513F01">
            <w:pPr>
              <w:contextualSpacing/>
            </w:pPr>
            <w:r>
              <w:t>Farrar-Myers</w:t>
            </w:r>
          </w:p>
        </w:tc>
      </w:tr>
    </w:tbl>
    <w:p w14:paraId="14522F4F" w14:textId="77777777" w:rsidR="00A6528A" w:rsidRDefault="00A6528A" w:rsidP="007736B9">
      <w:pPr>
        <w:spacing w:after="0" w:line="240" w:lineRule="auto"/>
        <w:rPr>
          <w:i/>
          <w:sz w:val="18"/>
          <w:szCs w:val="20"/>
        </w:rPr>
      </w:pPr>
    </w:p>
    <w:p w14:paraId="2FEDB2C1" w14:textId="77777777" w:rsidR="007474D4" w:rsidRPr="007474D4" w:rsidRDefault="007474D4" w:rsidP="008E740E">
      <w:pPr>
        <w:spacing w:after="0" w:line="240" w:lineRule="auto"/>
        <w:jc w:val="center"/>
        <w:rPr>
          <w:i/>
          <w:sz w:val="18"/>
          <w:szCs w:val="20"/>
        </w:rPr>
      </w:pPr>
    </w:p>
    <w:p w14:paraId="7064C8B8" w14:textId="3703EC9C" w:rsidR="00006E81" w:rsidRPr="007474D4" w:rsidRDefault="3F6C5F08" w:rsidP="3F6C5F08">
      <w:pPr>
        <w:spacing w:after="0" w:line="240" w:lineRule="auto"/>
        <w:jc w:val="center"/>
        <w:rPr>
          <w:i/>
          <w:iCs/>
          <w:sz w:val="20"/>
          <w:szCs w:val="20"/>
        </w:rPr>
      </w:pPr>
      <w:r w:rsidRPr="3F6C5F08">
        <w:rPr>
          <w:i/>
          <w:iCs/>
          <w:sz w:val="20"/>
          <w:szCs w:val="20"/>
        </w:rPr>
        <w:t xml:space="preserve"> </w:t>
      </w:r>
    </w:p>
    <w:sectPr w:rsidR="00006E81" w:rsidRPr="007474D4" w:rsidSect="00A6528A">
      <w:headerReference w:type="default" r:id="rId11"/>
      <w:footerReference w:type="default" r:id="rId12"/>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069E" w14:textId="77777777" w:rsidR="009F286C" w:rsidRDefault="009F286C" w:rsidP="0062674F">
      <w:pPr>
        <w:spacing w:after="0" w:line="240" w:lineRule="auto"/>
      </w:pPr>
      <w:r>
        <w:separator/>
      </w:r>
    </w:p>
  </w:endnote>
  <w:endnote w:type="continuationSeparator" w:id="0">
    <w:p w14:paraId="0AF71E79" w14:textId="77777777" w:rsidR="009F286C" w:rsidRDefault="009F286C" w:rsidP="0062674F">
      <w:pPr>
        <w:spacing w:after="0" w:line="240" w:lineRule="auto"/>
      </w:pPr>
      <w:r>
        <w:continuationSeparator/>
      </w:r>
    </w:p>
  </w:endnote>
  <w:endnote w:type="continuationNotice" w:id="1">
    <w:p w14:paraId="79F88D86" w14:textId="77777777" w:rsidR="009F286C" w:rsidRDefault="009F2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515B" w14:textId="77777777" w:rsidR="009F286C" w:rsidRDefault="009F286C" w:rsidP="0062674F">
      <w:pPr>
        <w:spacing w:after="0" w:line="240" w:lineRule="auto"/>
      </w:pPr>
      <w:r>
        <w:separator/>
      </w:r>
    </w:p>
  </w:footnote>
  <w:footnote w:type="continuationSeparator" w:id="0">
    <w:p w14:paraId="175ABE95" w14:textId="77777777" w:rsidR="009F286C" w:rsidRDefault="009F286C" w:rsidP="0062674F">
      <w:pPr>
        <w:spacing w:after="0" w:line="240" w:lineRule="auto"/>
      </w:pPr>
      <w:r>
        <w:continuationSeparator/>
      </w:r>
    </w:p>
  </w:footnote>
  <w:footnote w:type="continuationNotice" w:id="1">
    <w:p w14:paraId="405E65A1" w14:textId="77777777" w:rsidR="009F286C" w:rsidRDefault="009F2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bookmarkStart w:id="2" w:name="_Hlk525225993"/>
    <w:bookmarkStart w:id="3" w:name="_Hlk525225994"/>
    <w:bookmarkStart w:id="4" w:name="_Hlk525226006"/>
    <w:bookmarkStart w:id="5" w:name="_Hlk525226007"/>
    <w:r w:rsidRPr="3F6C5F08">
      <w:rPr>
        <w:b/>
        <w:bCs/>
        <w:sz w:val="36"/>
        <w:szCs w:val="36"/>
      </w:rPr>
      <w:t>Continuum of Care (CoC) Board of Directors Meeting</w:t>
    </w:r>
    <w:r w:rsidR="00791D07">
      <w:br/>
    </w:r>
    <w:r w:rsidRPr="3F6C5F08">
      <w:rPr>
        <w:b/>
        <w:bCs/>
        <w:i/>
        <w:iCs/>
        <w:sz w:val="28"/>
        <w:szCs w:val="28"/>
      </w:rPr>
      <w:t>Fort Worth/ Arlington/ Tarrant County (TX-601)</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9270E"/>
    <w:multiLevelType w:val="hybridMultilevel"/>
    <w:tmpl w:val="1102E058"/>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931B03"/>
    <w:multiLevelType w:val="hybridMultilevel"/>
    <w:tmpl w:val="43E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A350A"/>
    <w:multiLevelType w:val="multilevel"/>
    <w:tmpl w:val="F190E7D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ajorHAnsi" w:hAnsiTheme="majorHAnsi" w:cstheme="majorHAnsi" w:hint="default"/>
        <w:b w:val="0"/>
        <w:sz w:val="18"/>
        <w:szCs w:val="18"/>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2B0097"/>
    <w:multiLevelType w:val="hybridMultilevel"/>
    <w:tmpl w:val="7D3020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A2321"/>
    <w:multiLevelType w:val="hybridMultilevel"/>
    <w:tmpl w:val="C0203CA4"/>
    <w:lvl w:ilvl="0" w:tplc="410CB6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10EF2"/>
    <w:multiLevelType w:val="hybridMultilevel"/>
    <w:tmpl w:val="0C28D6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656014"/>
    <w:multiLevelType w:val="hybridMultilevel"/>
    <w:tmpl w:val="51548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4A7FA1"/>
    <w:multiLevelType w:val="hybridMultilevel"/>
    <w:tmpl w:val="D180B244"/>
    <w:lvl w:ilvl="0" w:tplc="410CB61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2"/>
  </w:num>
  <w:num w:numId="5">
    <w:abstractNumId w:val="3"/>
  </w:num>
  <w:num w:numId="6">
    <w:abstractNumId w:val="14"/>
  </w:num>
  <w:num w:numId="7">
    <w:abstractNumId w:val="0"/>
  </w:num>
  <w:num w:numId="8">
    <w:abstractNumId w:val="11"/>
  </w:num>
  <w:num w:numId="9">
    <w:abstractNumId w:val="16"/>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 w:numId="15">
    <w:abstractNumId w:val="1"/>
  </w:num>
  <w:num w:numId="16">
    <w:abstractNumId w:val="5"/>
  </w:num>
  <w:num w:numId="17">
    <w:abstractNumId w:val="1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53AD6"/>
    <w:rsid w:val="00075812"/>
    <w:rsid w:val="00077019"/>
    <w:rsid w:val="00080D3E"/>
    <w:rsid w:val="00085762"/>
    <w:rsid w:val="000A0366"/>
    <w:rsid w:val="000A7191"/>
    <w:rsid w:val="000B2696"/>
    <w:rsid w:val="000B373A"/>
    <w:rsid w:val="000B467A"/>
    <w:rsid w:val="000B4A95"/>
    <w:rsid w:val="000C1C77"/>
    <w:rsid w:val="000C4F83"/>
    <w:rsid w:val="000D1329"/>
    <w:rsid w:val="000F3698"/>
    <w:rsid w:val="000F3CB9"/>
    <w:rsid w:val="000F3FC8"/>
    <w:rsid w:val="000F459F"/>
    <w:rsid w:val="000F7A64"/>
    <w:rsid w:val="00104462"/>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5734"/>
    <w:rsid w:val="001A6E18"/>
    <w:rsid w:val="001B0ACC"/>
    <w:rsid w:val="001B3D5D"/>
    <w:rsid w:val="001B76E3"/>
    <w:rsid w:val="001C1FA9"/>
    <w:rsid w:val="001E1014"/>
    <w:rsid w:val="001E1494"/>
    <w:rsid w:val="001E5D9D"/>
    <w:rsid w:val="002057C2"/>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53339"/>
    <w:rsid w:val="0035483F"/>
    <w:rsid w:val="00360832"/>
    <w:rsid w:val="00365638"/>
    <w:rsid w:val="00371A37"/>
    <w:rsid w:val="003939F1"/>
    <w:rsid w:val="00393FD1"/>
    <w:rsid w:val="003A061E"/>
    <w:rsid w:val="003B5BF7"/>
    <w:rsid w:val="003B722D"/>
    <w:rsid w:val="003C221B"/>
    <w:rsid w:val="003C5CC7"/>
    <w:rsid w:val="003D1CF4"/>
    <w:rsid w:val="003D264E"/>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62D"/>
    <w:rsid w:val="004E7417"/>
    <w:rsid w:val="004E7A9F"/>
    <w:rsid w:val="005002E4"/>
    <w:rsid w:val="00506908"/>
    <w:rsid w:val="00506B14"/>
    <w:rsid w:val="00513F01"/>
    <w:rsid w:val="00515C9D"/>
    <w:rsid w:val="00521871"/>
    <w:rsid w:val="00532C71"/>
    <w:rsid w:val="00532D28"/>
    <w:rsid w:val="0053347D"/>
    <w:rsid w:val="00535A46"/>
    <w:rsid w:val="00546E09"/>
    <w:rsid w:val="005478C7"/>
    <w:rsid w:val="00556BA9"/>
    <w:rsid w:val="0056788F"/>
    <w:rsid w:val="00570867"/>
    <w:rsid w:val="0057368A"/>
    <w:rsid w:val="005744A5"/>
    <w:rsid w:val="00576DF9"/>
    <w:rsid w:val="00581920"/>
    <w:rsid w:val="0058330F"/>
    <w:rsid w:val="00583EBE"/>
    <w:rsid w:val="00594B8A"/>
    <w:rsid w:val="005A7A9E"/>
    <w:rsid w:val="005C0244"/>
    <w:rsid w:val="005C4D0E"/>
    <w:rsid w:val="005C62A1"/>
    <w:rsid w:val="005C7C0E"/>
    <w:rsid w:val="005E40A3"/>
    <w:rsid w:val="005F510C"/>
    <w:rsid w:val="00601342"/>
    <w:rsid w:val="0060697D"/>
    <w:rsid w:val="00613CCC"/>
    <w:rsid w:val="006155C5"/>
    <w:rsid w:val="00620EBF"/>
    <w:rsid w:val="00624C13"/>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36B9"/>
    <w:rsid w:val="00774931"/>
    <w:rsid w:val="0077758D"/>
    <w:rsid w:val="007841F3"/>
    <w:rsid w:val="00786494"/>
    <w:rsid w:val="00791D07"/>
    <w:rsid w:val="007A33AE"/>
    <w:rsid w:val="007C74DC"/>
    <w:rsid w:val="007D518A"/>
    <w:rsid w:val="007D6558"/>
    <w:rsid w:val="007E52D9"/>
    <w:rsid w:val="007F33D8"/>
    <w:rsid w:val="008006C0"/>
    <w:rsid w:val="00801A8F"/>
    <w:rsid w:val="008024E4"/>
    <w:rsid w:val="008036C3"/>
    <w:rsid w:val="008042F0"/>
    <w:rsid w:val="00804652"/>
    <w:rsid w:val="008060E0"/>
    <w:rsid w:val="00806D51"/>
    <w:rsid w:val="00820982"/>
    <w:rsid w:val="008262D2"/>
    <w:rsid w:val="008303A8"/>
    <w:rsid w:val="00830F4A"/>
    <w:rsid w:val="00843A88"/>
    <w:rsid w:val="00845AAB"/>
    <w:rsid w:val="00845E58"/>
    <w:rsid w:val="00860515"/>
    <w:rsid w:val="008618B0"/>
    <w:rsid w:val="008772B6"/>
    <w:rsid w:val="008806AB"/>
    <w:rsid w:val="00882F90"/>
    <w:rsid w:val="008847CD"/>
    <w:rsid w:val="008A572F"/>
    <w:rsid w:val="008B4630"/>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6AF4"/>
    <w:rsid w:val="00967820"/>
    <w:rsid w:val="009831C0"/>
    <w:rsid w:val="009913A8"/>
    <w:rsid w:val="009972FD"/>
    <w:rsid w:val="009A670C"/>
    <w:rsid w:val="009B68D9"/>
    <w:rsid w:val="009B75AA"/>
    <w:rsid w:val="009D17E3"/>
    <w:rsid w:val="009D2036"/>
    <w:rsid w:val="009D2123"/>
    <w:rsid w:val="009D7BA1"/>
    <w:rsid w:val="009F0C19"/>
    <w:rsid w:val="009F0D09"/>
    <w:rsid w:val="009F286C"/>
    <w:rsid w:val="009F3766"/>
    <w:rsid w:val="00A02766"/>
    <w:rsid w:val="00A033F6"/>
    <w:rsid w:val="00A20453"/>
    <w:rsid w:val="00A23418"/>
    <w:rsid w:val="00A26549"/>
    <w:rsid w:val="00A407F9"/>
    <w:rsid w:val="00A46D0C"/>
    <w:rsid w:val="00A51C5F"/>
    <w:rsid w:val="00A53895"/>
    <w:rsid w:val="00A554E3"/>
    <w:rsid w:val="00A6528A"/>
    <w:rsid w:val="00A65C1E"/>
    <w:rsid w:val="00A663F1"/>
    <w:rsid w:val="00A82C28"/>
    <w:rsid w:val="00A869A1"/>
    <w:rsid w:val="00A87988"/>
    <w:rsid w:val="00AA1B30"/>
    <w:rsid w:val="00AA6D21"/>
    <w:rsid w:val="00AA7AC7"/>
    <w:rsid w:val="00AC003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E0219"/>
    <w:rsid w:val="00BE30CC"/>
    <w:rsid w:val="00BE32EB"/>
    <w:rsid w:val="00BF7435"/>
    <w:rsid w:val="00BF767A"/>
    <w:rsid w:val="00C02D3F"/>
    <w:rsid w:val="00C11C44"/>
    <w:rsid w:val="00C2205C"/>
    <w:rsid w:val="00C44928"/>
    <w:rsid w:val="00C4569D"/>
    <w:rsid w:val="00C4727F"/>
    <w:rsid w:val="00C67653"/>
    <w:rsid w:val="00C769D8"/>
    <w:rsid w:val="00C875FD"/>
    <w:rsid w:val="00C93DC7"/>
    <w:rsid w:val="00C94CD6"/>
    <w:rsid w:val="00C96CBC"/>
    <w:rsid w:val="00CA2055"/>
    <w:rsid w:val="00CA7367"/>
    <w:rsid w:val="00CB74B6"/>
    <w:rsid w:val="00CC06D3"/>
    <w:rsid w:val="00CD4FBB"/>
    <w:rsid w:val="00CE1A26"/>
    <w:rsid w:val="00CE52F3"/>
    <w:rsid w:val="00CF1A4D"/>
    <w:rsid w:val="00CF68BA"/>
    <w:rsid w:val="00D064D0"/>
    <w:rsid w:val="00D10FBC"/>
    <w:rsid w:val="00D16103"/>
    <w:rsid w:val="00D17330"/>
    <w:rsid w:val="00D365CE"/>
    <w:rsid w:val="00D36870"/>
    <w:rsid w:val="00D37349"/>
    <w:rsid w:val="00D55948"/>
    <w:rsid w:val="00D60A4B"/>
    <w:rsid w:val="00D73407"/>
    <w:rsid w:val="00D7346D"/>
    <w:rsid w:val="00D86F24"/>
    <w:rsid w:val="00D923B4"/>
    <w:rsid w:val="00D97CEC"/>
    <w:rsid w:val="00DB03BD"/>
    <w:rsid w:val="00DC4452"/>
    <w:rsid w:val="00DC64A1"/>
    <w:rsid w:val="00DD14A4"/>
    <w:rsid w:val="00DD4DA1"/>
    <w:rsid w:val="00DF1155"/>
    <w:rsid w:val="00DF1BA9"/>
    <w:rsid w:val="00E017B1"/>
    <w:rsid w:val="00E03698"/>
    <w:rsid w:val="00E07825"/>
    <w:rsid w:val="00E10750"/>
    <w:rsid w:val="00E23508"/>
    <w:rsid w:val="00E24916"/>
    <w:rsid w:val="00E25113"/>
    <w:rsid w:val="00E25C50"/>
    <w:rsid w:val="00E27E5B"/>
    <w:rsid w:val="00E46EC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81733"/>
    <w:rsid w:val="00F81A16"/>
    <w:rsid w:val="00F92DEF"/>
    <w:rsid w:val="00FB66F6"/>
    <w:rsid w:val="00FD0785"/>
    <w:rsid w:val="00FD2FD6"/>
    <w:rsid w:val="00FD6383"/>
    <w:rsid w:val="00FD71BA"/>
    <w:rsid w:val="00FF0C96"/>
    <w:rsid w:val="00FF2A1E"/>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18AEB6D8-3B9A-4FFA-9543-948F047C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4.xml><?xml version="1.0" encoding="utf-8"?>
<ds:datastoreItem xmlns:ds="http://schemas.openxmlformats.org/officeDocument/2006/customXml" ds:itemID="{1D91A877-9EC0-47E7-A89C-BC31A448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2018-07-26T14:58:00Z</cp:lastPrinted>
  <dcterms:created xsi:type="dcterms:W3CDTF">2018-11-26T15:59:00Z</dcterms:created>
  <dcterms:modified xsi:type="dcterms:W3CDTF">2018-11-26T15:59:00Z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