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FADB" w14:textId="77777777" w:rsidR="00FF77EE" w:rsidRPr="00FF77EE" w:rsidRDefault="00FF77EE" w:rsidP="00FF77E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4FEC78AD" w14:textId="4E4B0AD6" w:rsidR="00FF77EE" w:rsidRPr="00AF624E" w:rsidRDefault="00701C3C" w:rsidP="00FF77EE">
      <w:r>
        <w:t>3rd</w:t>
      </w:r>
      <w:r w:rsidR="00AF624E" w:rsidRPr="00AF624E">
        <w:t xml:space="preserve"> </w:t>
      </w:r>
      <w:r>
        <w:t>Tuesday</w:t>
      </w:r>
      <w:r w:rsidR="00AF624E" w:rsidRPr="00AF624E">
        <w:t xml:space="preserve"> of every Month </w:t>
      </w:r>
      <w:r>
        <w:t>@</w:t>
      </w:r>
      <w:r w:rsidR="00445E08">
        <w:t>11a</w:t>
      </w:r>
      <w:r>
        <w:t>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61686" w:rsidRPr="00AF624E" w14:paraId="5505B8B9" w14:textId="77777777" w:rsidTr="005172EE">
        <w:tc>
          <w:tcPr>
            <w:tcW w:w="3116" w:type="dxa"/>
          </w:tcPr>
          <w:p w14:paraId="3DDE6BE0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8DD40DA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861686" w:rsidRPr="00FF77EE" w14:paraId="4C866241" w14:textId="77777777" w:rsidTr="005172EE">
        <w:tc>
          <w:tcPr>
            <w:tcW w:w="3116" w:type="dxa"/>
          </w:tcPr>
          <w:p w14:paraId="578C7D54" w14:textId="0E385E7E" w:rsidR="00861686" w:rsidRPr="00AF624E" w:rsidRDefault="00452DB2" w:rsidP="00FF77EE">
            <w:r>
              <w:t>March</w:t>
            </w:r>
            <w:r w:rsidR="004C6208">
              <w:t xml:space="preserve"> </w:t>
            </w:r>
            <w:r w:rsidR="00D163A9">
              <w:t>1</w:t>
            </w:r>
            <w:r>
              <w:t>9</w:t>
            </w:r>
            <w:r w:rsidR="00861686">
              <w:t>, 2018</w:t>
            </w:r>
          </w:p>
          <w:p w14:paraId="43B0DD7A" w14:textId="649A9EE3" w:rsidR="00861686" w:rsidRPr="00AF624E" w:rsidRDefault="00861686" w:rsidP="00FF77EE">
            <w:r>
              <w:t>11am, FWHS</w:t>
            </w:r>
          </w:p>
        </w:tc>
        <w:tc>
          <w:tcPr>
            <w:tcW w:w="3117" w:type="dxa"/>
          </w:tcPr>
          <w:p w14:paraId="732D629D" w14:textId="27359C86" w:rsidR="00861686" w:rsidRPr="00AF624E" w:rsidRDefault="00452DB2" w:rsidP="00FF77EE">
            <w:r>
              <w:t>April</w:t>
            </w:r>
            <w:r w:rsidR="00861686">
              <w:t xml:space="preserve"> </w:t>
            </w:r>
            <w:r w:rsidR="004C6208">
              <w:t>1</w:t>
            </w:r>
            <w:r>
              <w:t>6</w:t>
            </w:r>
            <w:r w:rsidR="00861686">
              <w:t>,</w:t>
            </w:r>
            <w:r w:rsidR="00861686" w:rsidRPr="00AF624E">
              <w:t xml:space="preserve"> 20</w:t>
            </w:r>
            <w:r w:rsidR="00D163A9">
              <w:t>19</w:t>
            </w:r>
          </w:p>
          <w:p w14:paraId="2F2D2450" w14:textId="4EB42979" w:rsidR="00861686" w:rsidRPr="00AF624E" w:rsidRDefault="00861686" w:rsidP="00FF77EE">
            <w:r>
              <w:t xml:space="preserve">11am, </w:t>
            </w:r>
            <w:r w:rsidR="00D163A9">
              <w:t>TCHC offices</w:t>
            </w:r>
          </w:p>
        </w:tc>
      </w:tr>
    </w:tbl>
    <w:p w14:paraId="5A743A5E" w14:textId="77777777" w:rsidR="00FF77EE" w:rsidRPr="00FF77EE" w:rsidRDefault="00FF77EE" w:rsidP="00FF77EE"/>
    <w:p w14:paraId="37F0116C" w14:textId="4510C5D7" w:rsidR="00FF77EE" w:rsidRDefault="00FF77EE" w:rsidP="00FF77EE">
      <w:pPr>
        <w:pStyle w:val="Heading2"/>
      </w:pPr>
      <w:bookmarkStart w:id="0" w:name="_Hlk520290945"/>
      <w:r w:rsidRPr="00FF77EE">
        <w:t>Report</w:t>
      </w:r>
    </w:p>
    <w:p w14:paraId="2F82AB30" w14:textId="42EE215C" w:rsidR="00452DB2" w:rsidRDefault="00452DB2" w:rsidP="00452DB2"/>
    <w:p w14:paraId="6FA414C4" w14:textId="26EF9503" w:rsidR="00452DB2" w:rsidRPr="00817371" w:rsidRDefault="00452DB2" w:rsidP="00452DB2">
      <w:pPr>
        <w:rPr>
          <w:rFonts w:cstheme="minorHAnsi"/>
          <w:sz w:val="24"/>
          <w:szCs w:val="24"/>
        </w:rPr>
      </w:pPr>
      <w:r w:rsidRPr="00817371">
        <w:rPr>
          <w:rFonts w:cstheme="minorHAnsi"/>
          <w:sz w:val="24"/>
          <w:szCs w:val="24"/>
        </w:rPr>
        <w:t xml:space="preserve">The HMIS committee met on March 19, 2019.  The committee reviewed the reporting capacity for Green River and </w:t>
      </w:r>
      <w:r w:rsidR="00817371" w:rsidRPr="00817371">
        <w:rPr>
          <w:rFonts w:cstheme="minorHAnsi"/>
          <w:sz w:val="24"/>
          <w:szCs w:val="24"/>
        </w:rPr>
        <w:t>its</w:t>
      </w:r>
      <w:r w:rsidRPr="00817371">
        <w:rPr>
          <w:rFonts w:cstheme="minorHAnsi"/>
          <w:sz w:val="24"/>
          <w:szCs w:val="24"/>
        </w:rPr>
        <w:t xml:space="preserve"> ability to create the by name list.  It was reported the HMIS Capacity Building Project NOFA has moved into phase 2 and TCHC will finalize the grant by the end of March.  This grant will provide resources for a mobile lab and program specific online training.  The committee also began completing the Workplan for CoC Strategic Goal 3.</w:t>
      </w:r>
    </w:p>
    <w:p w14:paraId="3E096137" w14:textId="4B5A68BF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66713BD4" w14:textId="5EB04322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24C6726F" w14:textId="77777777" w:rsidR="00452DB2" w:rsidRPr="00452DB2" w:rsidRDefault="00452DB2" w:rsidP="00452DB2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bookmarkStart w:id="1" w:name="_Hlk525539907"/>
      <w:r w:rsidRPr="00452DB2">
        <w:rPr>
          <w:rFonts w:eastAsiaTheme="majorEastAsia" w:cstheme="minorHAnsi"/>
          <w:color w:val="2E74B5" w:themeColor="accent1" w:themeShade="BF"/>
          <w:sz w:val="24"/>
          <w:szCs w:val="24"/>
        </w:rPr>
        <w:t>Action Items Completed</w:t>
      </w:r>
    </w:p>
    <w:bookmarkEnd w:id="1"/>
    <w:p w14:paraId="0DC41B38" w14:textId="32E72796" w:rsidR="00452DB2" w:rsidRPr="00817371" w:rsidRDefault="00452DB2" w:rsidP="00452DB2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817371">
        <w:rPr>
          <w:rFonts w:cstheme="minorHAnsi"/>
          <w:sz w:val="24"/>
          <w:szCs w:val="24"/>
        </w:rPr>
        <w:t xml:space="preserve">Moved Subcommittees to </w:t>
      </w:r>
      <w:proofErr w:type="spellStart"/>
      <w:r w:rsidRPr="00817371">
        <w:rPr>
          <w:rFonts w:cstheme="minorHAnsi"/>
          <w:sz w:val="24"/>
          <w:szCs w:val="24"/>
        </w:rPr>
        <w:t>AdHoc</w:t>
      </w:r>
      <w:proofErr w:type="spellEnd"/>
      <w:r w:rsidRPr="00817371">
        <w:rPr>
          <w:rFonts w:cstheme="minorHAnsi"/>
          <w:sz w:val="24"/>
          <w:szCs w:val="24"/>
        </w:rPr>
        <w:t xml:space="preserve">- Steven Montgomery motion to have sub-committees on an hoc basis, Debbi Rabalais second the motion. </w:t>
      </w:r>
    </w:p>
    <w:p w14:paraId="68E669AD" w14:textId="4A427BE0" w:rsidR="00452DB2" w:rsidRPr="00817371" w:rsidRDefault="00452DB2" w:rsidP="00452DB2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817371">
        <w:rPr>
          <w:rFonts w:cstheme="minorHAnsi"/>
          <w:sz w:val="24"/>
          <w:szCs w:val="24"/>
        </w:rPr>
        <w:t>Draft Workplan for Strategic Goal 3</w:t>
      </w:r>
    </w:p>
    <w:p w14:paraId="2B0C527C" w14:textId="2CAD41DA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4E6A03D2" w14:textId="3AD9D431" w:rsidR="00452DB2" w:rsidRPr="00817371" w:rsidRDefault="00452DB2" w:rsidP="00452DB2">
      <w:pPr>
        <w:rPr>
          <w:rFonts w:cstheme="minorHAnsi"/>
          <w:sz w:val="24"/>
          <w:szCs w:val="24"/>
        </w:rPr>
      </w:pPr>
    </w:p>
    <w:p w14:paraId="51AE39C3" w14:textId="240DA2F5" w:rsidR="00452DB2" w:rsidRDefault="00452DB2" w:rsidP="00452DB2"/>
    <w:p w14:paraId="0E7716D1" w14:textId="77777777" w:rsidR="00452DB2" w:rsidRDefault="00452DB2" w:rsidP="00452DB2">
      <w:pPr>
        <w:pStyle w:val="Heading2"/>
      </w:pPr>
      <w:r>
        <w:t>Recommendations to CoC Board</w:t>
      </w:r>
    </w:p>
    <w:p w14:paraId="3A315AF5" w14:textId="5ABA4F7C" w:rsidR="00452DB2" w:rsidRPr="00452DB2" w:rsidRDefault="00452DB2" w:rsidP="00452DB2">
      <w:r>
        <w:t>None</w:t>
      </w:r>
      <w:bookmarkEnd w:id="0"/>
    </w:p>
    <w:sectPr w:rsidR="00452DB2" w:rsidRPr="00452DB2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572E" w14:textId="77777777" w:rsidR="00110B99" w:rsidRDefault="00110B99" w:rsidP="0053213F">
      <w:r>
        <w:separator/>
      </w:r>
    </w:p>
  </w:endnote>
  <w:endnote w:type="continuationSeparator" w:id="0">
    <w:p w14:paraId="2B252D12" w14:textId="77777777" w:rsidR="00110B99" w:rsidRDefault="00110B99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94C2" w14:textId="77777777" w:rsidR="00502932" w:rsidRDefault="00502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0E88CAEB" w:rsidR="00AF558D" w:rsidRDefault="00AF558D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18A5D153" w:rsidR="00AF558D" w:rsidRDefault="00110B99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AF558D" w:rsidRPr="0053213F">
          <w:t xml:space="preserve">Page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PAGE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F558D">
          <w:rPr>
            <w:bCs/>
            <w:noProof/>
          </w:rPr>
          <w:t>1</w:t>
        </w:r>
        <w:r w:rsidR="00AF558D" w:rsidRPr="0053213F">
          <w:rPr>
            <w:bCs/>
            <w:sz w:val="24"/>
            <w:szCs w:val="24"/>
          </w:rPr>
          <w:fldChar w:fldCharType="end"/>
        </w:r>
        <w:r w:rsidR="00AF558D" w:rsidRPr="0053213F">
          <w:t xml:space="preserve"> of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NUMPAGES 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92D44">
          <w:rPr>
            <w:bCs/>
            <w:noProof/>
          </w:rPr>
          <w:t>4</w:t>
        </w:r>
        <w:r w:rsidR="00AF558D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965D" w14:textId="77777777" w:rsidR="00110B99" w:rsidRDefault="00110B99" w:rsidP="0053213F">
      <w:r>
        <w:separator/>
      </w:r>
    </w:p>
  </w:footnote>
  <w:footnote w:type="continuationSeparator" w:id="0">
    <w:p w14:paraId="54B61D85" w14:textId="77777777" w:rsidR="00110B99" w:rsidRDefault="00110B99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8881" w14:textId="77777777" w:rsidR="00502932" w:rsidRDefault="00502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50A66AC6" w14:textId="77777777" w:rsidTr="008B5176">
      <w:tc>
        <w:tcPr>
          <w:tcW w:w="2500" w:type="pct"/>
        </w:tcPr>
        <w:p w14:paraId="310EB6AA" w14:textId="77777777" w:rsidR="00AF558D" w:rsidRPr="00B11315" w:rsidRDefault="00AF558D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2985AF72" w:rsidR="00AF558D" w:rsidRPr="00B43EA7" w:rsidRDefault="00FF77EE" w:rsidP="00B43EA7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7E0F07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90</w:t>
          </w:r>
          <w:r w:rsidR="00452DB2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325</w:t>
          </w:r>
          <w:r w:rsidR="007E0F07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</w:t>
          </w:r>
          <w:r w:rsidR="00502932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121</w:t>
          </w:r>
          <w:bookmarkStart w:id="2" w:name="_GoBack"/>
          <w:bookmarkEnd w:id="2"/>
          <w:r w:rsidR="004C620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</w:t>
          </w:r>
        </w:p>
      </w:tc>
    </w:tr>
  </w:tbl>
  <w:p w14:paraId="1B5B14CF" w14:textId="6C90520B" w:rsidR="00AF558D" w:rsidRDefault="00AF558D" w:rsidP="00E062C2">
    <w:pPr>
      <w:rPr>
        <w:rFonts w:ascii="Calibri" w:eastAsia="Times New Roman" w:hAnsi="Calibri" w:cs="Times New Roman"/>
        <w:color w:val="000000"/>
      </w:rPr>
    </w:pPr>
  </w:p>
  <w:p w14:paraId="103A0BBD" w14:textId="4666B66C" w:rsidR="00AF558D" w:rsidRPr="006B79BA" w:rsidRDefault="00452DB2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March</w:t>
    </w:r>
    <w:r w:rsidR="0060676B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D163A9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AF558D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HMIS Governance Committee Report</w:t>
    </w:r>
  </w:p>
  <w:p w14:paraId="6047F1BF" w14:textId="71BB1482" w:rsidR="00AF558D" w:rsidRPr="00E062C2" w:rsidRDefault="00AF558D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7B198CAF" w14:textId="77777777" w:rsidTr="4CBFAD88">
      <w:tc>
        <w:tcPr>
          <w:tcW w:w="2500" w:type="pct"/>
        </w:tcPr>
        <w:p w14:paraId="34F3C948" w14:textId="49D84790" w:rsidR="00AF558D" w:rsidRPr="00B11315" w:rsidRDefault="00AF558D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AF558D" w:rsidRDefault="00AF558D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AF558D" w:rsidRDefault="00AF558D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AF558D" w:rsidRPr="006B79BA" w:rsidRDefault="00AF558D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E71"/>
    <w:multiLevelType w:val="hybridMultilevel"/>
    <w:tmpl w:val="504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1F1"/>
    <w:multiLevelType w:val="hybridMultilevel"/>
    <w:tmpl w:val="E98099BA"/>
    <w:lvl w:ilvl="0" w:tplc="CDBE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BD"/>
    <w:multiLevelType w:val="hybridMultilevel"/>
    <w:tmpl w:val="446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6949"/>
    <w:multiLevelType w:val="hybridMultilevel"/>
    <w:tmpl w:val="42007862"/>
    <w:lvl w:ilvl="0" w:tplc="C1627088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3B92"/>
    <w:multiLevelType w:val="hybridMultilevel"/>
    <w:tmpl w:val="7EB8F4DE"/>
    <w:lvl w:ilvl="0" w:tplc="854055C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B8F"/>
    <w:multiLevelType w:val="hybridMultilevel"/>
    <w:tmpl w:val="061A9526"/>
    <w:lvl w:ilvl="0" w:tplc="77E87B2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52598B"/>
    <w:multiLevelType w:val="hybridMultilevel"/>
    <w:tmpl w:val="CD38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9"/>
    <w:multiLevelType w:val="hybridMultilevel"/>
    <w:tmpl w:val="801406D2"/>
    <w:lvl w:ilvl="0" w:tplc="52A02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A1C"/>
    <w:multiLevelType w:val="hybridMultilevel"/>
    <w:tmpl w:val="A38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7E3D"/>
    <w:multiLevelType w:val="hybridMultilevel"/>
    <w:tmpl w:val="DA9E8D0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F56E39F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2D9B"/>
    <w:multiLevelType w:val="hybridMultilevel"/>
    <w:tmpl w:val="996A14F2"/>
    <w:lvl w:ilvl="0" w:tplc="730E7D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05A8"/>
    <w:multiLevelType w:val="hybridMultilevel"/>
    <w:tmpl w:val="7B04E8D8"/>
    <w:lvl w:ilvl="0" w:tplc="81C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D1BA0"/>
    <w:multiLevelType w:val="hybridMultilevel"/>
    <w:tmpl w:val="00D4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7673F"/>
    <w:multiLevelType w:val="hybridMultilevel"/>
    <w:tmpl w:val="BB8C814E"/>
    <w:lvl w:ilvl="0" w:tplc="F7DAEB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87DD9"/>
    <w:multiLevelType w:val="hybridMultilevel"/>
    <w:tmpl w:val="9A509228"/>
    <w:lvl w:ilvl="0" w:tplc="EF88EF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25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9"/>
  </w:num>
  <w:num w:numId="13">
    <w:abstractNumId w:val="14"/>
  </w:num>
  <w:num w:numId="14">
    <w:abstractNumId w:val="24"/>
  </w:num>
  <w:num w:numId="15">
    <w:abstractNumId w:val="9"/>
  </w:num>
  <w:num w:numId="16">
    <w:abstractNumId w:val="20"/>
  </w:num>
  <w:num w:numId="17">
    <w:abstractNumId w:val="27"/>
  </w:num>
  <w:num w:numId="18">
    <w:abstractNumId w:val="6"/>
  </w:num>
  <w:num w:numId="19">
    <w:abstractNumId w:val="8"/>
  </w:num>
  <w:num w:numId="20">
    <w:abstractNumId w:val="5"/>
  </w:num>
  <w:num w:numId="21">
    <w:abstractNumId w:val="0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11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7190"/>
    <w:rsid w:val="00027851"/>
    <w:rsid w:val="00030ECC"/>
    <w:rsid w:val="00064173"/>
    <w:rsid w:val="00064965"/>
    <w:rsid w:val="00081B69"/>
    <w:rsid w:val="00084E76"/>
    <w:rsid w:val="00092374"/>
    <w:rsid w:val="000A7FE5"/>
    <w:rsid w:val="000C4DF3"/>
    <w:rsid w:val="000D720C"/>
    <w:rsid w:val="000E0812"/>
    <w:rsid w:val="000E7F56"/>
    <w:rsid w:val="000F0837"/>
    <w:rsid w:val="000F5E9A"/>
    <w:rsid w:val="000F6561"/>
    <w:rsid w:val="00110B99"/>
    <w:rsid w:val="0011257A"/>
    <w:rsid w:val="00115E8E"/>
    <w:rsid w:val="00132C3C"/>
    <w:rsid w:val="00134CC3"/>
    <w:rsid w:val="00140388"/>
    <w:rsid w:val="001406C7"/>
    <w:rsid w:val="00143D71"/>
    <w:rsid w:val="0014783A"/>
    <w:rsid w:val="001656CB"/>
    <w:rsid w:val="00175757"/>
    <w:rsid w:val="00177532"/>
    <w:rsid w:val="00182A49"/>
    <w:rsid w:val="00184954"/>
    <w:rsid w:val="001A4F6B"/>
    <w:rsid w:val="001A5AC2"/>
    <w:rsid w:val="001B079F"/>
    <w:rsid w:val="001D07D8"/>
    <w:rsid w:val="001D0E74"/>
    <w:rsid w:val="001E230E"/>
    <w:rsid w:val="001E29E9"/>
    <w:rsid w:val="001E683E"/>
    <w:rsid w:val="001F2AFB"/>
    <w:rsid w:val="001F7ACA"/>
    <w:rsid w:val="00202E16"/>
    <w:rsid w:val="00210214"/>
    <w:rsid w:val="00213801"/>
    <w:rsid w:val="0022207A"/>
    <w:rsid w:val="00230BF0"/>
    <w:rsid w:val="002319B6"/>
    <w:rsid w:val="00232356"/>
    <w:rsid w:val="00233449"/>
    <w:rsid w:val="00235A38"/>
    <w:rsid w:val="0024201F"/>
    <w:rsid w:val="002430FC"/>
    <w:rsid w:val="00256A18"/>
    <w:rsid w:val="002621E5"/>
    <w:rsid w:val="00270814"/>
    <w:rsid w:val="002744BB"/>
    <w:rsid w:val="00277F2B"/>
    <w:rsid w:val="00284530"/>
    <w:rsid w:val="00286207"/>
    <w:rsid w:val="002903F9"/>
    <w:rsid w:val="00291FCE"/>
    <w:rsid w:val="00296E94"/>
    <w:rsid w:val="00297B1A"/>
    <w:rsid w:val="002A0F1F"/>
    <w:rsid w:val="002A4C94"/>
    <w:rsid w:val="002B4132"/>
    <w:rsid w:val="002D09E6"/>
    <w:rsid w:val="002D413B"/>
    <w:rsid w:val="002E26DB"/>
    <w:rsid w:val="002F1F84"/>
    <w:rsid w:val="00311C33"/>
    <w:rsid w:val="003126B4"/>
    <w:rsid w:val="0031737D"/>
    <w:rsid w:val="003255AA"/>
    <w:rsid w:val="003431FE"/>
    <w:rsid w:val="003474B5"/>
    <w:rsid w:val="003554C6"/>
    <w:rsid w:val="003650FE"/>
    <w:rsid w:val="00367116"/>
    <w:rsid w:val="00373694"/>
    <w:rsid w:val="00397F78"/>
    <w:rsid w:val="003B5B45"/>
    <w:rsid w:val="003B6CFE"/>
    <w:rsid w:val="003B75C6"/>
    <w:rsid w:val="003C1682"/>
    <w:rsid w:val="003E0A2C"/>
    <w:rsid w:val="003E1001"/>
    <w:rsid w:val="00407618"/>
    <w:rsid w:val="00420034"/>
    <w:rsid w:val="00425D0F"/>
    <w:rsid w:val="00437B51"/>
    <w:rsid w:val="00440D66"/>
    <w:rsid w:val="00444E6A"/>
    <w:rsid w:val="00445E08"/>
    <w:rsid w:val="00452DB2"/>
    <w:rsid w:val="00452F1A"/>
    <w:rsid w:val="00473A7F"/>
    <w:rsid w:val="00473E1B"/>
    <w:rsid w:val="00495D8E"/>
    <w:rsid w:val="004A06B7"/>
    <w:rsid w:val="004A0C4D"/>
    <w:rsid w:val="004B1E43"/>
    <w:rsid w:val="004B4364"/>
    <w:rsid w:val="004B75BF"/>
    <w:rsid w:val="004C6208"/>
    <w:rsid w:val="004C635C"/>
    <w:rsid w:val="004F1CBA"/>
    <w:rsid w:val="00502932"/>
    <w:rsid w:val="00507850"/>
    <w:rsid w:val="00510059"/>
    <w:rsid w:val="00510144"/>
    <w:rsid w:val="00514168"/>
    <w:rsid w:val="00515380"/>
    <w:rsid w:val="0053213F"/>
    <w:rsid w:val="00533259"/>
    <w:rsid w:val="00567134"/>
    <w:rsid w:val="00570419"/>
    <w:rsid w:val="005767B1"/>
    <w:rsid w:val="0059345C"/>
    <w:rsid w:val="005A08E9"/>
    <w:rsid w:val="005A569E"/>
    <w:rsid w:val="005B02A7"/>
    <w:rsid w:val="005C1417"/>
    <w:rsid w:val="005C5480"/>
    <w:rsid w:val="005D177A"/>
    <w:rsid w:val="005E0D23"/>
    <w:rsid w:val="005E285B"/>
    <w:rsid w:val="005E4A10"/>
    <w:rsid w:val="005E5070"/>
    <w:rsid w:val="0060676B"/>
    <w:rsid w:val="006153AD"/>
    <w:rsid w:val="006237E1"/>
    <w:rsid w:val="006245D1"/>
    <w:rsid w:val="006306C6"/>
    <w:rsid w:val="00633981"/>
    <w:rsid w:val="00634D70"/>
    <w:rsid w:val="00642F7E"/>
    <w:rsid w:val="0064616A"/>
    <w:rsid w:val="006641C7"/>
    <w:rsid w:val="00670725"/>
    <w:rsid w:val="00690A1E"/>
    <w:rsid w:val="006A02D1"/>
    <w:rsid w:val="006A2C35"/>
    <w:rsid w:val="006B62BF"/>
    <w:rsid w:val="006B79BA"/>
    <w:rsid w:val="006E21BC"/>
    <w:rsid w:val="006F55BA"/>
    <w:rsid w:val="00701C3C"/>
    <w:rsid w:val="007063CA"/>
    <w:rsid w:val="00714895"/>
    <w:rsid w:val="00716652"/>
    <w:rsid w:val="007201D4"/>
    <w:rsid w:val="0073727E"/>
    <w:rsid w:val="00737607"/>
    <w:rsid w:val="0074000B"/>
    <w:rsid w:val="00742819"/>
    <w:rsid w:val="0074414D"/>
    <w:rsid w:val="007446D2"/>
    <w:rsid w:val="007501D5"/>
    <w:rsid w:val="00756E4D"/>
    <w:rsid w:val="00766689"/>
    <w:rsid w:val="00767EDB"/>
    <w:rsid w:val="00775266"/>
    <w:rsid w:val="0077735A"/>
    <w:rsid w:val="0079701A"/>
    <w:rsid w:val="007A1F82"/>
    <w:rsid w:val="007A60E1"/>
    <w:rsid w:val="007A6F9B"/>
    <w:rsid w:val="007C4035"/>
    <w:rsid w:val="007C6015"/>
    <w:rsid w:val="007C6061"/>
    <w:rsid w:val="007C671E"/>
    <w:rsid w:val="007E0F07"/>
    <w:rsid w:val="007E410B"/>
    <w:rsid w:val="008011FC"/>
    <w:rsid w:val="008165D3"/>
    <w:rsid w:val="00817371"/>
    <w:rsid w:val="00825084"/>
    <w:rsid w:val="00830D5A"/>
    <w:rsid w:val="00831A2A"/>
    <w:rsid w:val="00835A9B"/>
    <w:rsid w:val="0085389A"/>
    <w:rsid w:val="0085404B"/>
    <w:rsid w:val="00854D83"/>
    <w:rsid w:val="008606B2"/>
    <w:rsid w:val="00861686"/>
    <w:rsid w:val="00862870"/>
    <w:rsid w:val="008671AC"/>
    <w:rsid w:val="008752FB"/>
    <w:rsid w:val="00877621"/>
    <w:rsid w:val="00884555"/>
    <w:rsid w:val="0089271D"/>
    <w:rsid w:val="008A3F1F"/>
    <w:rsid w:val="008B5176"/>
    <w:rsid w:val="008B72DC"/>
    <w:rsid w:val="008D19F5"/>
    <w:rsid w:val="008D4A3F"/>
    <w:rsid w:val="008D630E"/>
    <w:rsid w:val="008E1B4B"/>
    <w:rsid w:val="008F622B"/>
    <w:rsid w:val="008F6566"/>
    <w:rsid w:val="008F740A"/>
    <w:rsid w:val="00906928"/>
    <w:rsid w:val="00913832"/>
    <w:rsid w:val="00913F22"/>
    <w:rsid w:val="009413A0"/>
    <w:rsid w:val="0095748D"/>
    <w:rsid w:val="00963994"/>
    <w:rsid w:val="00965C54"/>
    <w:rsid w:val="009778E3"/>
    <w:rsid w:val="0099062C"/>
    <w:rsid w:val="00990CA7"/>
    <w:rsid w:val="00996099"/>
    <w:rsid w:val="009A2528"/>
    <w:rsid w:val="009B4C29"/>
    <w:rsid w:val="009C26FA"/>
    <w:rsid w:val="009D4BB5"/>
    <w:rsid w:val="009E4ABC"/>
    <w:rsid w:val="009F371D"/>
    <w:rsid w:val="009F777F"/>
    <w:rsid w:val="00A024ED"/>
    <w:rsid w:val="00A06591"/>
    <w:rsid w:val="00A12FEA"/>
    <w:rsid w:val="00A413EF"/>
    <w:rsid w:val="00A80757"/>
    <w:rsid w:val="00A835DB"/>
    <w:rsid w:val="00A838A7"/>
    <w:rsid w:val="00A86C45"/>
    <w:rsid w:val="00A9246B"/>
    <w:rsid w:val="00A92D44"/>
    <w:rsid w:val="00A972C2"/>
    <w:rsid w:val="00AA276C"/>
    <w:rsid w:val="00AB7387"/>
    <w:rsid w:val="00AE167A"/>
    <w:rsid w:val="00AE298E"/>
    <w:rsid w:val="00AF2811"/>
    <w:rsid w:val="00AF558D"/>
    <w:rsid w:val="00AF624E"/>
    <w:rsid w:val="00B11315"/>
    <w:rsid w:val="00B1323B"/>
    <w:rsid w:val="00B1389F"/>
    <w:rsid w:val="00B263BD"/>
    <w:rsid w:val="00B32055"/>
    <w:rsid w:val="00B3715B"/>
    <w:rsid w:val="00B43EA7"/>
    <w:rsid w:val="00B44829"/>
    <w:rsid w:val="00B57236"/>
    <w:rsid w:val="00B57C70"/>
    <w:rsid w:val="00B609C1"/>
    <w:rsid w:val="00B60A95"/>
    <w:rsid w:val="00B77319"/>
    <w:rsid w:val="00B80B70"/>
    <w:rsid w:val="00BA4563"/>
    <w:rsid w:val="00BA4CC1"/>
    <w:rsid w:val="00BB1B02"/>
    <w:rsid w:val="00BD207E"/>
    <w:rsid w:val="00BF1E93"/>
    <w:rsid w:val="00BF61C4"/>
    <w:rsid w:val="00C115E8"/>
    <w:rsid w:val="00C243F5"/>
    <w:rsid w:val="00C248EC"/>
    <w:rsid w:val="00C2569E"/>
    <w:rsid w:val="00C26443"/>
    <w:rsid w:val="00C360AC"/>
    <w:rsid w:val="00C52FE9"/>
    <w:rsid w:val="00C5756D"/>
    <w:rsid w:val="00C604D1"/>
    <w:rsid w:val="00C65A12"/>
    <w:rsid w:val="00C75BCA"/>
    <w:rsid w:val="00C7725B"/>
    <w:rsid w:val="00CA531B"/>
    <w:rsid w:val="00CB6C95"/>
    <w:rsid w:val="00CB7801"/>
    <w:rsid w:val="00CC477F"/>
    <w:rsid w:val="00CC61E8"/>
    <w:rsid w:val="00CD456E"/>
    <w:rsid w:val="00CD5C12"/>
    <w:rsid w:val="00CE35DB"/>
    <w:rsid w:val="00CF4225"/>
    <w:rsid w:val="00D04D68"/>
    <w:rsid w:val="00D163A9"/>
    <w:rsid w:val="00D44DBC"/>
    <w:rsid w:val="00D45FB8"/>
    <w:rsid w:val="00D5781A"/>
    <w:rsid w:val="00D73F03"/>
    <w:rsid w:val="00D80F29"/>
    <w:rsid w:val="00D914F6"/>
    <w:rsid w:val="00D97113"/>
    <w:rsid w:val="00DC3E42"/>
    <w:rsid w:val="00DE693E"/>
    <w:rsid w:val="00E062C2"/>
    <w:rsid w:val="00E16FE7"/>
    <w:rsid w:val="00E42B71"/>
    <w:rsid w:val="00E45230"/>
    <w:rsid w:val="00E47A47"/>
    <w:rsid w:val="00E53948"/>
    <w:rsid w:val="00E5536C"/>
    <w:rsid w:val="00E5783F"/>
    <w:rsid w:val="00E60C82"/>
    <w:rsid w:val="00E62EC2"/>
    <w:rsid w:val="00E63E7D"/>
    <w:rsid w:val="00E75BA4"/>
    <w:rsid w:val="00E76FCD"/>
    <w:rsid w:val="00E827D8"/>
    <w:rsid w:val="00E956A1"/>
    <w:rsid w:val="00EB4339"/>
    <w:rsid w:val="00EC18FB"/>
    <w:rsid w:val="00ED36AA"/>
    <w:rsid w:val="00EE5AAE"/>
    <w:rsid w:val="00EF0CAE"/>
    <w:rsid w:val="00EF69E1"/>
    <w:rsid w:val="00F177BA"/>
    <w:rsid w:val="00F25D61"/>
    <w:rsid w:val="00F27E68"/>
    <w:rsid w:val="00F508AE"/>
    <w:rsid w:val="00F537D1"/>
    <w:rsid w:val="00F63721"/>
    <w:rsid w:val="00F64614"/>
    <w:rsid w:val="00F7162E"/>
    <w:rsid w:val="00FA00A3"/>
    <w:rsid w:val="00FA18BE"/>
    <w:rsid w:val="00FA76C9"/>
    <w:rsid w:val="00FC273B"/>
    <w:rsid w:val="00FC47C8"/>
    <w:rsid w:val="00FC6D33"/>
    <w:rsid w:val="00FC7362"/>
    <w:rsid w:val="00FE42BD"/>
    <w:rsid w:val="00FE7970"/>
    <w:rsid w:val="00FF4884"/>
    <w:rsid w:val="00FF77EE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0C5D1857-73A6-4A3D-A12D-6FD4C5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B51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11C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D2B15-0B64-49E2-A423-EF6C7490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4</cp:revision>
  <cp:lastPrinted>2019-01-28T13:59:00Z</cp:lastPrinted>
  <dcterms:created xsi:type="dcterms:W3CDTF">2019-03-22T18:56:00Z</dcterms:created>
  <dcterms:modified xsi:type="dcterms:W3CDTF">2019-03-22T20:07:00Z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