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14240989" w:rsidR="000C1632" w:rsidRPr="00AF624E" w:rsidRDefault="000C1632" w:rsidP="000C1632">
      <w:r>
        <w:t>1st</w:t>
      </w:r>
      <w:r w:rsidRPr="00AF624E">
        <w:t xml:space="preserve"> </w:t>
      </w:r>
      <w:r>
        <w:t>Thursday</w:t>
      </w:r>
      <w:r w:rsidRPr="00AF624E">
        <w:t xml:space="preserve"> of every Month </w:t>
      </w:r>
      <w:r>
        <w:t>@3pm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64DBA444" w:rsidR="000C1632" w:rsidRPr="00AF624E" w:rsidRDefault="00265934" w:rsidP="00CA04B8">
            <w:r>
              <w:t>July 16</w:t>
            </w:r>
            <w:r w:rsidR="000C1632">
              <w:t>, 2019</w:t>
            </w:r>
          </w:p>
          <w:p w14:paraId="22F3D473" w14:textId="0D502939" w:rsidR="000C1632" w:rsidRPr="00AF624E" w:rsidRDefault="00265934" w:rsidP="00CA04B8">
            <w:r>
              <w:t>Noon – 4p</w:t>
            </w:r>
          </w:p>
        </w:tc>
        <w:tc>
          <w:tcPr>
            <w:tcW w:w="3117" w:type="dxa"/>
          </w:tcPr>
          <w:p w14:paraId="7F2A02E9" w14:textId="0AF39707" w:rsidR="000C1632" w:rsidRPr="00AF624E" w:rsidRDefault="00265934" w:rsidP="00CA04B8">
            <w:r>
              <w:t>Aug</w:t>
            </w:r>
            <w:r w:rsidR="000C1632">
              <w:t xml:space="preserve"> </w:t>
            </w:r>
            <w:r>
              <w:t>1</w:t>
            </w:r>
            <w:r w:rsidR="000C1632">
              <w:t>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74D68D15" w:rsidR="000C1632" w:rsidRPr="00AF624E" w:rsidRDefault="000C1632" w:rsidP="00CA04B8">
            <w:r>
              <w:t>3pm,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58B0D546" w14:textId="71EFE0FF" w:rsidR="0007449B" w:rsidRPr="0007449B" w:rsidRDefault="007459A2" w:rsidP="000744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</w:t>
      </w:r>
      <w:r w:rsidR="00265934">
        <w:rPr>
          <w:rFonts w:cstheme="minorHAnsi"/>
          <w:sz w:val="24"/>
          <w:szCs w:val="24"/>
        </w:rPr>
        <w:t xml:space="preserve"> met several times in the last two months in order to review and allocate State ESG funding</w:t>
      </w:r>
      <w:r>
        <w:rPr>
          <w:rFonts w:cstheme="minorHAnsi"/>
          <w:sz w:val="24"/>
          <w:szCs w:val="24"/>
        </w:rPr>
        <w:t xml:space="preserve">.  The committee </w:t>
      </w:r>
      <w:r w:rsidR="00265934">
        <w:rPr>
          <w:rFonts w:cstheme="minorHAnsi"/>
          <w:sz w:val="24"/>
          <w:szCs w:val="24"/>
        </w:rPr>
        <w:t>decided on the attached allocations for the State ESG funds</w:t>
      </w:r>
      <w:r>
        <w:rPr>
          <w:rFonts w:cstheme="minorHAnsi"/>
          <w:sz w:val="24"/>
          <w:szCs w:val="24"/>
        </w:rPr>
        <w:t xml:space="preserve">. </w:t>
      </w:r>
      <w:r w:rsidR="00265934">
        <w:rPr>
          <w:rFonts w:cstheme="minorHAnsi"/>
          <w:sz w:val="24"/>
          <w:szCs w:val="24"/>
        </w:rPr>
        <w:t>The committee is also reviewed the CoC NOFA competition timeline.</w:t>
      </w:r>
    </w:p>
    <w:p w14:paraId="36C9621E" w14:textId="3DA067B5" w:rsidR="00190627" w:rsidRPr="0007449B" w:rsidRDefault="00190627" w:rsidP="00196031">
      <w:pPr>
        <w:rPr>
          <w:rFonts w:cstheme="minorHAnsi"/>
          <w:sz w:val="24"/>
          <w:szCs w:val="24"/>
        </w:rPr>
      </w:pPr>
    </w:p>
    <w:p w14:paraId="0F41D0E7" w14:textId="77777777" w:rsidR="002A2684" w:rsidRDefault="002A2684" w:rsidP="002A2684">
      <w:pPr>
        <w:pStyle w:val="Heading2"/>
      </w:pPr>
      <w:bookmarkStart w:id="0" w:name="_Hlk525539907"/>
      <w:r>
        <w:t>Action Items Completed</w:t>
      </w:r>
    </w:p>
    <w:bookmarkEnd w:id="0"/>
    <w:p w14:paraId="5B41DDD7" w14:textId="50449C32" w:rsidR="0037037B" w:rsidRPr="0037037B" w:rsidRDefault="00265934" w:rsidP="00CA6478">
      <w:pPr>
        <w:pStyle w:val="ListParagraph"/>
        <w:numPr>
          <w:ilvl w:val="0"/>
          <w:numId w:val="23"/>
        </w:numPr>
        <w:rPr>
          <w:b/>
        </w:rPr>
      </w:pPr>
      <w:r>
        <w:rPr>
          <w:rFonts w:cstheme="minorHAnsi"/>
          <w:sz w:val="24"/>
          <w:szCs w:val="24"/>
        </w:rPr>
        <w:t>Conflict of Interest for each member reviewed</w:t>
      </w:r>
    </w:p>
    <w:p w14:paraId="12320394" w14:textId="1A97859C" w:rsidR="000C1632" w:rsidRPr="00265934" w:rsidRDefault="0037037B" w:rsidP="00CA6478">
      <w:pPr>
        <w:pStyle w:val="ListParagraph"/>
        <w:numPr>
          <w:ilvl w:val="0"/>
          <w:numId w:val="23"/>
        </w:numPr>
        <w:rPr>
          <w:b/>
        </w:rPr>
      </w:pPr>
      <w:r w:rsidRPr="0037037B">
        <w:rPr>
          <w:rFonts w:cstheme="minorHAnsi"/>
          <w:sz w:val="24"/>
          <w:szCs w:val="24"/>
        </w:rPr>
        <w:t xml:space="preserve">ESG State competition </w:t>
      </w:r>
      <w:r w:rsidR="00265934">
        <w:rPr>
          <w:rFonts w:cstheme="minorHAnsi"/>
          <w:sz w:val="24"/>
          <w:szCs w:val="24"/>
        </w:rPr>
        <w:t>allocated</w:t>
      </w:r>
    </w:p>
    <w:p w14:paraId="41ED6599" w14:textId="40DE5800" w:rsidR="00265934" w:rsidRPr="0037037B" w:rsidRDefault="00265934" w:rsidP="00CA6478">
      <w:pPr>
        <w:pStyle w:val="ListParagraph"/>
        <w:numPr>
          <w:ilvl w:val="0"/>
          <w:numId w:val="23"/>
        </w:numPr>
        <w:rPr>
          <w:b/>
        </w:rPr>
      </w:pPr>
      <w:r>
        <w:rPr>
          <w:rFonts w:cstheme="minorHAnsi"/>
          <w:sz w:val="24"/>
          <w:szCs w:val="24"/>
        </w:rPr>
        <w:t>CoC NOFA Competition timeline</w:t>
      </w:r>
    </w:p>
    <w:p w14:paraId="55436418" w14:textId="77777777" w:rsidR="0037037B" w:rsidRDefault="0037037B" w:rsidP="002A2684">
      <w:pPr>
        <w:pStyle w:val="Heading2"/>
      </w:pPr>
    </w:p>
    <w:p w14:paraId="2E0C826E" w14:textId="08E85CF9" w:rsidR="002A2684" w:rsidRDefault="002A2684" w:rsidP="002A2684">
      <w:pPr>
        <w:pStyle w:val="Heading2"/>
      </w:pPr>
      <w:r>
        <w:t>Recommendations to CoC Board</w:t>
      </w:r>
    </w:p>
    <w:p w14:paraId="48D232FC" w14:textId="77777777" w:rsidR="00265934" w:rsidRDefault="00265934" w:rsidP="002A2684">
      <w:pPr>
        <w:rPr>
          <w:sz w:val="24"/>
          <w:szCs w:val="24"/>
        </w:rPr>
      </w:pPr>
      <w:r>
        <w:rPr>
          <w:sz w:val="24"/>
          <w:szCs w:val="24"/>
        </w:rPr>
        <w:t xml:space="preserve">Attached State ESG funding recommendations </w:t>
      </w:r>
      <w:r w:rsidRPr="00265934">
        <w:rPr>
          <w:sz w:val="16"/>
          <w:szCs w:val="16"/>
        </w:rPr>
        <w:t>(190722-148a)</w:t>
      </w:r>
      <w:r>
        <w:rPr>
          <w:sz w:val="24"/>
          <w:szCs w:val="24"/>
        </w:rPr>
        <w:t xml:space="preserve">. </w:t>
      </w:r>
    </w:p>
    <w:p w14:paraId="5AEE256A" w14:textId="3DD5A971" w:rsidR="00A17C8D" w:rsidRPr="00265934" w:rsidRDefault="00265934" w:rsidP="002A2684">
      <w:pPr>
        <w:rPr>
          <w:sz w:val="16"/>
          <w:szCs w:val="16"/>
        </w:rPr>
      </w:pPr>
      <w:bookmarkStart w:id="1" w:name="_GoBack"/>
      <w:bookmarkEnd w:id="1"/>
      <w:r>
        <w:rPr>
          <w:sz w:val="24"/>
          <w:szCs w:val="24"/>
        </w:rPr>
        <w:t xml:space="preserve">CoC NOFA timeline attached </w:t>
      </w:r>
      <w:r w:rsidRPr="00265934">
        <w:rPr>
          <w:sz w:val="16"/>
          <w:szCs w:val="16"/>
        </w:rPr>
        <w:t>(190722-148b).</w:t>
      </w:r>
    </w:p>
    <w:p w14:paraId="6C2DE535" w14:textId="77777777" w:rsidR="00265934" w:rsidRPr="00A17C8D" w:rsidRDefault="00265934" w:rsidP="002A2684">
      <w:pPr>
        <w:rPr>
          <w:sz w:val="24"/>
          <w:szCs w:val="24"/>
        </w:rPr>
      </w:pP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F7ED" w14:textId="77777777" w:rsidR="00C44699" w:rsidRDefault="00C44699" w:rsidP="0053213F">
      <w:r>
        <w:separator/>
      </w:r>
    </w:p>
  </w:endnote>
  <w:endnote w:type="continuationSeparator" w:id="0">
    <w:p w14:paraId="2DF52F34" w14:textId="77777777" w:rsidR="00C44699" w:rsidRDefault="00C44699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C44699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FBB3" w14:textId="77777777" w:rsidR="00C44699" w:rsidRDefault="00C44699" w:rsidP="0053213F">
      <w:r>
        <w:separator/>
      </w:r>
    </w:p>
  </w:footnote>
  <w:footnote w:type="continuationSeparator" w:id="0">
    <w:p w14:paraId="2B0B77A1" w14:textId="77777777" w:rsidR="00C44699" w:rsidRDefault="00C44699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5CF360B3" w:rsidR="00E062C2" w:rsidRDefault="000C1632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190</w:t>
          </w:r>
          <w:r w:rsidR="00265934">
            <w:rPr>
              <w:rFonts w:ascii="Calibri" w:eastAsia="Times New Roman" w:hAnsi="Calibri" w:cs="Times New Roman"/>
              <w:color w:val="000000"/>
            </w:rPr>
            <w:t>722-148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52D46C00" w:rsidR="00E062C2" w:rsidRPr="006B79BA" w:rsidRDefault="00265934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July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3D65"/>
    <w:multiLevelType w:val="hybridMultilevel"/>
    <w:tmpl w:val="1DC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552B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5934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7037B"/>
    <w:rsid w:val="003A1F9A"/>
    <w:rsid w:val="003B6CFE"/>
    <w:rsid w:val="003B75C6"/>
    <w:rsid w:val="003C1682"/>
    <w:rsid w:val="003D172B"/>
    <w:rsid w:val="003D37DF"/>
    <w:rsid w:val="003E0A2C"/>
    <w:rsid w:val="003E6CA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459A2"/>
    <w:rsid w:val="007501D5"/>
    <w:rsid w:val="00756E4D"/>
    <w:rsid w:val="00767EDB"/>
    <w:rsid w:val="00775266"/>
    <w:rsid w:val="007A07F9"/>
    <w:rsid w:val="007C6015"/>
    <w:rsid w:val="007C6061"/>
    <w:rsid w:val="007F26A0"/>
    <w:rsid w:val="008011FC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70D36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17C8D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115E8"/>
    <w:rsid w:val="00C120E4"/>
    <w:rsid w:val="00C13915"/>
    <w:rsid w:val="00C14854"/>
    <w:rsid w:val="00C243F5"/>
    <w:rsid w:val="00C27499"/>
    <w:rsid w:val="00C446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70FCD"/>
    <w:rsid w:val="00E83074"/>
    <w:rsid w:val="00E956A1"/>
    <w:rsid w:val="00E97A95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00FF4C93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2017-05-07T18:06:00Z</cp:lastPrinted>
  <dcterms:created xsi:type="dcterms:W3CDTF">2019-07-18T23:34:00Z</dcterms:created>
  <dcterms:modified xsi:type="dcterms:W3CDTF">2019-07-18T23:34:00Z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