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563A017" w:rsidR="000F7A64" w:rsidRDefault="00B84E44" w:rsidP="00BF767A">
      <w:pPr>
        <w:spacing w:after="0" w:line="240" w:lineRule="auto"/>
        <w:jc w:val="center"/>
      </w:pPr>
      <w:r>
        <w:t>May</w:t>
      </w:r>
      <w:r w:rsidR="003C5CC7" w:rsidRPr="00535A46">
        <w:t xml:space="preserve"> </w:t>
      </w:r>
      <w:r>
        <w:t>31</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t>TCHC Offices</w:t>
      </w:r>
      <w:r w:rsidR="002B3339">
        <w:t xml:space="preserve"> </w:t>
      </w:r>
    </w:p>
    <w:p w14:paraId="23F7B91C" w14:textId="6EA7E210" w:rsidR="000F7A64" w:rsidRDefault="002D0756" w:rsidP="0074050D">
      <w:pPr>
        <w:spacing w:after="0" w:line="240" w:lineRule="auto"/>
        <w:jc w:val="center"/>
      </w:pPr>
      <w:r>
        <w:t>30</w:t>
      </w:r>
      <w:r w:rsidR="00B84E44">
        <w:t>0</w:t>
      </w:r>
      <w:r>
        <w:t xml:space="preserve"> </w:t>
      </w:r>
      <w:r w:rsidR="00B84E44">
        <w:t>S</w:t>
      </w:r>
      <w:r>
        <w:t xml:space="preserve"> B</w:t>
      </w:r>
      <w:r w:rsidR="00B84E44">
        <w:t>each St</w:t>
      </w:r>
    </w:p>
    <w:p w14:paraId="7185383E" w14:textId="070A496E" w:rsidR="00BB5002" w:rsidRDefault="3F6C5F08" w:rsidP="0074050D">
      <w:pPr>
        <w:spacing w:after="0" w:line="240" w:lineRule="auto"/>
        <w:jc w:val="center"/>
      </w:pPr>
      <w:r>
        <w:t>Fort Worth, Texas 761</w:t>
      </w:r>
      <w:r w:rsidR="002D0756">
        <w:t>0</w:t>
      </w:r>
      <w:r w:rsidR="00B84E44">
        <w:t>5</w:t>
      </w:r>
    </w:p>
    <w:p w14:paraId="0281DAF7" w14:textId="5B836CD1" w:rsidR="00164457" w:rsidRDefault="00C57C4B" w:rsidP="00C57C4B">
      <w:pPr>
        <w:spacing w:after="0" w:line="240" w:lineRule="auto"/>
      </w:pPr>
      <w:r>
        <w:t>Members Present</w:t>
      </w:r>
      <w:r w:rsidR="00A64392">
        <w:t xml:space="preserve"> (14)</w:t>
      </w:r>
      <w:r>
        <w:t xml:space="preserve">: </w:t>
      </w:r>
      <w:r w:rsidR="00164457" w:rsidRPr="00164457">
        <w:t>Andy Miller</w:t>
      </w:r>
      <w:r w:rsidR="00164457">
        <w:t xml:space="preserve">, Tori </w:t>
      </w:r>
      <w:r w:rsidR="002012A8">
        <w:t>Sisk, Jason Hall, Bill Copp</w:t>
      </w:r>
      <w:r w:rsidR="00A64392">
        <w:t>o</w:t>
      </w:r>
      <w:r w:rsidR="002012A8">
        <w:t>la, Steve Montgomery, Cassandra Walker, Toby Owen, Shannon Spriggs, Tara Perez, Norbert White, Scott Rule, Patricia Ward</w:t>
      </w:r>
      <w:r w:rsidR="00A64392">
        <w:t xml:space="preserve">, Pat </w:t>
      </w:r>
      <w:r w:rsidR="00991C59">
        <w:t>Jacob,</w:t>
      </w:r>
      <w:r w:rsidR="008F172B">
        <w:t xml:space="preserve"> Robin </w:t>
      </w:r>
      <w:proofErr w:type="spellStart"/>
      <w:r w:rsidR="008F172B">
        <w:t>Mich</w:t>
      </w:r>
      <w:r w:rsidR="0067525F">
        <w:t>a</w:t>
      </w:r>
      <w:r w:rsidR="008F172B">
        <w:t>love</w:t>
      </w:r>
      <w:proofErr w:type="spellEnd"/>
      <w:r w:rsidR="008F172B">
        <w:t xml:space="preserve">, </w:t>
      </w:r>
      <w:r w:rsidR="00A64392">
        <w:t xml:space="preserve">and Paula Robinson. </w:t>
      </w:r>
    </w:p>
    <w:p w14:paraId="02826A1A" w14:textId="77777777" w:rsidR="00F65A92" w:rsidRPr="007474D4" w:rsidRDefault="00F65A92" w:rsidP="00A64392">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6B9A1DEB" w:rsidR="006155C5" w:rsidRPr="007474D4" w:rsidRDefault="00B84E44" w:rsidP="00513F01">
            <w:pPr>
              <w:contextualSpacing/>
            </w:pPr>
            <w:r>
              <w:t>Toby Owen</w:t>
            </w:r>
            <w:r w:rsidR="0035146C">
              <w:t>,</w:t>
            </w:r>
            <w:r>
              <w:t xml:space="preserve"> Vice</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6D58CD24" w:rsidR="00640540" w:rsidRPr="002012A8" w:rsidRDefault="3F6C5F08" w:rsidP="0031635B">
            <w:pPr>
              <w:pStyle w:val="ListParagraph"/>
              <w:numPr>
                <w:ilvl w:val="1"/>
                <w:numId w:val="2"/>
              </w:numPr>
              <w:rPr>
                <w:b/>
              </w:rPr>
            </w:pPr>
            <w:r w:rsidRPr="002012A8">
              <w:rPr>
                <w:b/>
              </w:rPr>
              <w:t>Tarrant County Homeless Coalition (TCHC)</w:t>
            </w:r>
          </w:p>
          <w:p w14:paraId="084C481D" w14:textId="37B1072A" w:rsidR="00C57C4B" w:rsidRDefault="00C57C4B" w:rsidP="00C57C4B">
            <w:pPr>
              <w:ind w:left="720"/>
            </w:pPr>
            <w:r>
              <w:t>-</w:t>
            </w:r>
            <w:r w:rsidR="00B51545">
              <w:t>Roll</w:t>
            </w:r>
            <w:r>
              <w:t xml:space="preserve"> out date for Green River is June 24, 2019 for Green River to go live</w:t>
            </w:r>
          </w:p>
          <w:p w14:paraId="02C2DAB0" w14:textId="2C895C6B" w:rsidR="00C57C4B" w:rsidRDefault="00B51545" w:rsidP="00C57C4B">
            <w:pPr>
              <w:pStyle w:val="ListParagraph"/>
            </w:pPr>
            <w:r>
              <w:t>-Patricia</w:t>
            </w:r>
            <w:r w:rsidR="00A64392">
              <w:t>-</w:t>
            </w:r>
            <w:r>
              <w:t>How long has TCHC been tracking the fatality information for homeless individuals?</w:t>
            </w:r>
          </w:p>
          <w:p w14:paraId="1C9BD21F" w14:textId="0307A445" w:rsidR="00B51545" w:rsidRDefault="00B51545" w:rsidP="00C57C4B">
            <w:pPr>
              <w:pStyle w:val="ListParagraph"/>
            </w:pPr>
            <w:r>
              <w:t>-Response- Lauren Helms (TCHC Staff) We have information from the last six years.</w:t>
            </w:r>
          </w:p>
          <w:p w14:paraId="607DA308" w14:textId="2851083F" w:rsidR="00B51545" w:rsidRDefault="00B51545" w:rsidP="00C57C4B">
            <w:pPr>
              <w:pStyle w:val="ListParagraph"/>
            </w:pPr>
            <w:r>
              <w:t>-Patricia</w:t>
            </w:r>
            <w:r w:rsidR="00A64392">
              <w:t>-</w:t>
            </w:r>
            <w:r>
              <w:t>What is the most common way a person passes who is homeless according to fatality reviews?</w:t>
            </w:r>
          </w:p>
          <w:p w14:paraId="53B7EDB1" w14:textId="4E66ED39" w:rsidR="00B51545" w:rsidRDefault="00B51545" w:rsidP="00C57C4B">
            <w:pPr>
              <w:pStyle w:val="ListParagraph"/>
            </w:pPr>
            <w:r>
              <w:t>-Response Nathan Crites-Herren (TCHC Staff)- Substance Abuse, is the leading cause in our continuum.</w:t>
            </w:r>
          </w:p>
          <w:p w14:paraId="03C911A6" w14:textId="45E09CD4" w:rsidR="00B51545" w:rsidRDefault="00B51545" w:rsidP="00C57C4B">
            <w:pPr>
              <w:pStyle w:val="ListParagraph"/>
            </w:pPr>
            <w:r>
              <w:t>-Norbert-Please clearly define what you mean by our system?</w:t>
            </w:r>
          </w:p>
          <w:p w14:paraId="0178DE3D" w14:textId="14AFFB40" w:rsidR="00B51545" w:rsidRDefault="00B51545" w:rsidP="00164457">
            <w:pPr>
              <w:pStyle w:val="ListParagraph"/>
            </w:pPr>
            <w:r>
              <w:t>-Response- L. Helms- Our information is provided from ETO, Medical Examiners, and JPS</w:t>
            </w:r>
          </w:p>
          <w:p w14:paraId="3E468351" w14:textId="67759CE9" w:rsidR="00164457" w:rsidRDefault="00164457" w:rsidP="00164457">
            <w:pPr>
              <w:pStyle w:val="ListParagraph"/>
            </w:pPr>
            <w:r>
              <w:t>-Board members expressed their satisfaction with how the Strategic Plan, TCHC’s Goals, and community plan align.</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0560EF39" w:rsidR="00241D69" w:rsidRPr="007474D4" w:rsidRDefault="0053075B" w:rsidP="003B722D">
            <w:pPr>
              <w:contextualSpacing/>
            </w:pPr>
            <w:r>
              <w:t>Tammy McGh</w:t>
            </w:r>
            <w:bookmarkStart w:id="0" w:name="_GoBack"/>
            <w:bookmarkEnd w:id="0"/>
            <w:r>
              <w:t>ee</w:t>
            </w:r>
          </w:p>
        </w:tc>
      </w:tr>
      <w:tr w:rsidR="00F13AC8" w:rsidRPr="007474D4" w14:paraId="68AB860E" w14:textId="77777777" w:rsidTr="00E824C4">
        <w:tc>
          <w:tcPr>
            <w:tcW w:w="3914" w:type="pct"/>
            <w:tcBorders>
              <w:top w:val="nil"/>
            </w:tcBorders>
          </w:tcPr>
          <w:p w14:paraId="76154CB1" w14:textId="77777777" w:rsidR="00F13AC8" w:rsidRPr="002012A8" w:rsidRDefault="3F6C5F08" w:rsidP="002D0756">
            <w:pPr>
              <w:pStyle w:val="ListParagraph"/>
              <w:numPr>
                <w:ilvl w:val="1"/>
                <w:numId w:val="2"/>
              </w:numPr>
              <w:rPr>
                <w:b/>
              </w:rPr>
            </w:pPr>
            <w:r w:rsidRPr="002012A8">
              <w:rPr>
                <w:b/>
              </w:rPr>
              <w:t>Standing Committees</w:t>
            </w:r>
          </w:p>
          <w:p w14:paraId="2A2C1804" w14:textId="0C6B5550" w:rsidR="00226B51" w:rsidRPr="002012A8" w:rsidRDefault="3F6C5F08" w:rsidP="002D0756">
            <w:pPr>
              <w:pStyle w:val="ListParagraph"/>
              <w:numPr>
                <w:ilvl w:val="2"/>
                <w:numId w:val="2"/>
              </w:numPr>
              <w:rPr>
                <w:rFonts w:asciiTheme="majorHAnsi" w:hAnsiTheme="majorHAnsi" w:cstheme="majorHAnsi"/>
                <w:b/>
                <w:sz w:val="18"/>
                <w:szCs w:val="18"/>
              </w:rPr>
            </w:pPr>
            <w:r w:rsidRPr="002012A8">
              <w:rPr>
                <w:b/>
              </w:rPr>
              <w:t>CoC Board Executive Committee</w:t>
            </w:r>
          </w:p>
          <w:p w14:paraId="0CB4870D" w14:textId="258622FC" w:rsidR="00164457" w:rsidRPr="00164457" w:rsidRDefault="00164457" w:rsidP="00164457">
            <w:pPr>
              <w:pStyle w:val="ListParagraph"/>
              <w:ind w:left="1080"/>
              <w:rPr>
                <w:rFonts w:cstheme="minorHAnsi"/>
              </w:rPr>
            </w:pPr>
            <w:r w:rsidRPr="00475273">
              <w:rPr>
                <w:rFonts w:cstheme="minorHAnsi"/>
              </w:rPr>
              <w:t>-No Report</w:t>
            </w:r>
          </w:p>
          <w:p w14:paraId="37EB9DEA" w14:textId="6236261F" w:rsidR="00E824C4" w:rsidRPr="002012A8" w:rsidRDefault="3F6C5F08" w:rsidP="002D0756">
            <w:pPr>
              <w:pStyle w:val="ListParagraph"/>
              <w:numPr>
                <w:ilvl w:val="2"/>
                <w:numId w:val="2"/>
              </w:numPr>
              <w:rPr>
                <w:b/>
              </w:rPr>
            </w:pPr>
            <w:r w:rsidRPr="002012A8">
              <w:rPr>
                <w:b/>
              </w:rPr>
              <w:t>CoC Governance Committe</w:t>
            </w:r>
            <w:r w:rsidR="00164457" w:rsidRPr="002012A8">
              <w:rPr>
                <w:b/>
              </w:rPr>
              <w:t>e</w:t>
            </w:r>
          </w:p>
          <w:p w14:paraId="526164C7" w14:textId="4F920807" w:rsidR="00164457" w:rsidRPr="00164457" w:rsidRDefault="00164457" w:rsidP="00164457">
            <w:pPr>
              <w:pStyle w:val="ListParagraph"/>
              <w:ind w:left="1080"/>
              <w:rPr>
                <w:rFonts w:cstheme="minorHAnsi"/>
              </w:rPr>
            </w:pPr>
            <w:r w:rsidRPr="00475273">
              <w:rPr>
                <w:rFonts w:cstheme="minorHAnsi"/>
              </w:rPr>
              <w:t>-No Report</w:t>
            </w:r>
          </w:p>
          <w:p w14:paraId="45F835B6" w14:textId="0BDD5755" w:rsidR="002419CA" w:rsidRPr="002012A8" w:rsidRDefault="3F6C5F08" w:rsidP="006B4E4E">
            <w:pPr>
              <w:pStyle w:val="ListParagraph"/>
              <w:numPr>
                <w:ilvl w:val="2"/>
                <w:numId w:val="2"/>
              </w:numPr>
              <w:tabs>
                <w:tab w:val="left" w:pos="4518"/>
              </w:tabs>
              <w:rPr>
                <w:b/>
              </w:rPr>
            </w:pPr>
            <w:r w:rsidRPr="002012A8">
              <w:rPr>
                <w:b/>
              </w:rPr>
              <w:t>HMIS Governance Committe</w:t>
            </w:r>
            <w:r w:rsidR="00164457" w:rsidRPr="002012A8">
              <w:rPr>
                <w:b/>
              </w:rPr>
              <w:t>e</w:t>
            </w:r>
          </w:p>
          <w:p w14:paraId="456BFE8B" w14:textId="5D6FF995" w:rsidR="00164457" w:rsidRPr="00164457" w:rsidRDefault="00164457" w:rsidP="00164457">
            <w:pPr>
              <w:pStyle w:val="ListParagraph"/>
              <w:ind w:left="1080"/>
              <w:rPr>
                <w:rFonts w:cstheme="minorHAnsi"/>
              </w:rPr>
            </w:pPr>
            <w:r w:rsidRPr="00475273">
              <w:rPr>
                <w:rFonts w:cstheme="minorHAnsi"/>
              </w:rPr>
              <w:t>-Full Report included in Board Packet</w:t>
            </w:r>
          </w:p>
          <w:p w14:paraId="5C3AA95F" w14:textId="5A0106CD" w:rsidR="00226B51" w:rsidRPr="002012A8" w:rsidRDefault="00E8786B" w:rsidP="002D0756">
            <w:pPr>
              <w:pStyle w:val="ListParagraph"/>
              <w:numPr>
                <w:ilvl w:val="2"/>
                <w:numId w:val="2"/>
              </w:numPr>
              <w:rPr>
                <w:b/>
              </w:rPr>
            </w:pPr>
            <w:r w:rsidRPr="002012A8">
              <w:rPr>
                <w:b/>
              </w:rPr>
              <w:t>Allocations</w:t>
            </w:r>
            <w:r w:rsidR="3F6C5F08" w:rsidRPr="002012A8">
              <w:rPr>
                <w:b/>
              </w:rPr>
              <w:t xml:space="preserve"> Committee</w:t>
            </w:r>
          </w:p>
          <w:p w14:paraId="746ED297" w14:textId="3F286BF6" w:rsidR="00164457" w:rsidRPr="00164457" w:rsidRDefault="00164457" w:rsidP="00164457">
            <w:pPr>
              <w:pStyle w:val="ListParagraph"/>
              <w:ind w:left="1080"/>
              <w:rPr>
                <w:rStyle w:val="Hyperlink"/>
                <w:rFonts w:cstheme="minorHAnsi"/>
                <w:color w:val="auto"/>
                <w:u w:val="none"/>
              </w:rPr>
            </w:pPr>
            <w:r w:rsidRPr="00475273">
              <w:rPr>
                <w:rFonts w:cstheme="minorHAnsi"/>
              </w:rPr>
              <w:t>-Full Report included in Board Packet</w:t>
            </w:r>
          </w:p>
          <w:p w14:paraId="3912EA0C" w14:textId="2AA173F0" w:rsidR="008A6936" w:rsidRPr="002012A8" w:rsidRDefault="3F6C5F08" w:rsidP="00AA6670">
            <w:pPr>
              <w:pStyle w:val="ListParagraph"/>
              <w:numPr>
                <w:ilvl w:val="2"/>
                <w:numId w:val="2"/>
              </w:numPr>
              <w:rPr>
                <w:b/>
              </w:rPr>
            </w:pPr>
            <w:r w:rsidRPr="002012A8">
              <w:rPr>
                <w:b/>
              </w:rPr>
              <w:t>Improvement, Coordination, and Training Committee</w:t>
            </w:r>
          </w:p>
          <w:p w14:paraId="0EE9927C" w14:textId="18FBD2AC" w:rsidR="00164457" w:rsidRPr="00164457" w:rsidRDefault="00164457" w:rsidP="00164457">
            <w:pPr>
              <w:pStyle w:val="ListParagraph"/>
              <w:ind w:left="1080"/>
              <w:rPr>
                <w:rFonts w:cstheme="minorHAnsi"/>
              </w:rPr>
            </w:pPr>
            <w:r w:rsidRPr="00475273">
              <w:rPr>
                <w:rFonts w:cstheme="minorHAnsi"/>
              </w:rPr>
              <w:t>-Full Report included in Board Packet</w:t>
            </w:r>
          </w:p>
          <w:p w14:paraId="41890008" w14:textId="62F6F4E2" w:rsidR="00AA6670" w:rsidRPr="002012A8" w:rsidRDefault="00AA6670" w:rsidP="00AA6670">
            <w:pPr>
              <w:pStyle w:val="ListParagraph"/>
              <w:numPr>
                <w:ilvl w:val="2"/>
                <w:numId w:val="2"/>
              </w:numPr>
              <w:rPr>
                <w:rFonts w:cstheme="minorHAnsi"/>
                <w:b/>
              </w:rPr>
            </w:pPr>
            <w:r w:rsidRPr="002012A8">
              <w:rPr>
                <w:rFonts w:cstheme="minorHAnsi"/>
                <w:b/>
              </w:rPr>
              <w:t>Housing Committee</w:t>
            </w:r>
          </w:p>
          <w:p w14:paraId="371D74F8" w14:textId="67E7DA6C" w:rsidR="00164457" w:rsidRPr="00164457" w:rsidRDefault="00164457" w:rsidP="00164457">
            <w:pPr>
              <w:pStyle w:val="ListParagraph"/>
              <w:ind w:left="1080"/>
              <w:rPr>
                <w:rFonts w:cstheme="minorHAnsi"/>
              </w:rPr>
            </w:pPr>
            <w:r w:rsidRPr="00475273">
              <w:rPr>
                <w:rFonts w:cstheme="minorHAnsi"/>
              </w:rPr>
              <w:t>-Full Report included in Board Packet</w:t>
            </w:r>
          </w:p>
          <w:p w14:paraId="2F94F931" w14:textId="77777777" w:rsidR="000369F2" w:rsidRPr="00AF1B58" w:rsidRDefault="000369F2" w:rsidP="000369F2">
            <w:pPr>
              <w:pStyle w:val="ListParagraph"/>
              <w:ind w:left="1080"/>
            </w:pPr>
          </w:p>
          <w:p w14:paraId="32074F4A" w14:textId="77777777" w:rsidR="00A64392" w:rsidRDefault="00932568" w:rsidP="002D0756">
            <w:pPr>
              <w:pStyle w:val="ListParagraph"/>
              <w:numPr>
                <w:ilvl w:val="1"/>
                <w:numId w:val="2"/>
              </w:numPr>
              <w:rPr>
                <w:b/>
              </w:rPr>
            </w:pPr>
            <w:r w:rsidRPr="002012A8">
              <w:rPr>
                <w:b/>
              </w:rPr>
              <w:t>Green River Demo</w:t>
            </w:r>
          </w:p>
          <w:p w14:paraId="2674A2DD" w14:textId="5C658E0E" w:rsidR="001B0ACC" w:rsidRDefault="00A64392" w:rsidP="00A64392">
            <w:pPr>
              <w:pStyle w:val="ListParagraph"/>
            </w:pPr>
            <w:r>
              <w:t>HMIS Grant Funds- a portion of these funds will be used to r</w:t>
            </w:r>
            <w:r w:rsidRPr="00A64392">
              <w:t xml:space="preserve">evamp </w:t>
            </w:r>
            <w:r w:rsidR="007D7F07">
              <w:t>t</w:t>
            </w:r>
            <w:r w:rsidRPr="00A64392">
              <w:t xml:space="preserve">raining for Case Managers to </w:t>
            </w:r>
            <w:r w:rsidR="007D7F07">
              <w:t xml:space="preserve">clearly </w:t>
            </w:r>
            <w:r w:rsidRPr="00A64392">
              <w:t xml:space="preserve">define exit/entry </w:t>
            </w:r>
            <w:r w:rsidR="000D4FC6" w:rsidRPr="00A64392">
              <w:t>assessments and</w:t>
            </w:r>
            <w:r w:rsidRPr="00A64392">
              <w:t xml:space="preserve"> data quality</w:t>
            </w:r>
            <w:r w:rsidR="00C31739">
              <w:t>.</w:t>
            </w:r>
          </w:p>
          <w:p w14:paraId="78E31956" w14:textId="42A73F89" w:rsidR="00C31739" w:rsidRDefault="00C31739" w:rsidP="00A64392">
            <w:pPr>
              <w:pStyle w:val="ListParagraph"/>
            </w:pPr>
            <w:r>
              <w:t>-Norbert- What information can a service provider see</w:t>
            </w:r>
            <w:r w:rsidR="000D4FC6">
              <w:t xml:space="preserve"> </w:t>
            </w:r>
            <w:r>
              <w:t>in Green River?</w:t>
            </w:r>
          </w:p>
          <w:p w14:paraId="253D5219" w14:textId="3F0789C0" w:rsidR="000D4FC6" w:rsidRDefault="000D4FC6" w:rsidP="00A64392">
            <w:pPr>
              <w:pStyle w:val="ListParagraph"/>
            </w:pPr>
            <w:r>
              <w:lastRenderedPageBreak/>
              <w:t>-Response-Tammy- The plan is to have ISD’s, Hospitals, Jails, VA, and all ETO entries in to Green River all entities inclusion is contingent on compliance standards, HIPPA, legal standards, etc.,</w:t>
            </w:r>
          </w:p>
          <w:p w14:paraId="1F3C5C59" w14:textId="4FF768A2" w:rsidR="000D4FC6" w:rsidRPr="00A64392" w:rsidRDefault="000D4FC6" w:rsidP="00A64392">
            <w:pPr>
              <w:pStyle w:val="ListParagraph"/>
            </w:pPr>
            <w:r>
              <w:t xml:space="preserve">-Tara- </w:t>
            </w:r>
            <w:r w:rsidR="0067525F">
              <w:t>Mentioned</w:t>
            </w:r>
            <w:r>
              <w:t xml:space="preserve"> Federal Shortfall, funds are frozen at least to January 2020 to Board members. </w:t>
            </w:r>
          </w:p>
          <w:p w14:paraId="4D1C6E6C" w14:textId="414312F9" w:rsidR="00F5744E" w:rsidRPr="00932568" w:rsidRDefault="00F5744E" w:rsidP="00932568">
            <w:pPr>
              <w:rPr>
                <w:rFonts w:eastAsia="Times New Roman"/>
              </w:rPr>
            </w:pPr>
          </w:p>
        </w:tc>
        <w:tc>
          <w:tcPr>
            <w:tcW w:w="1086" w:type="pct"/>
            <w:tcBorders>
              <w:top w:val="nil"/>
            </w:tcBorders>
          </w:tcPr>
          <w:p w14:paraId="63C76A3A" w14:textId="77777777" w:rsidR="00E824C4" w:rsidRDefault="00E824C4" w:rsidP="00513F01">
            <w:pPr>
              <w:contextualSpacing/>
            </w:pPr>
          </w:p>
          <w:p w14:paraId="4A110902" w14:textId="1552F267" w:rsidR="00F81733" w:rsidRDefault="00F81733" w:rsidP="00513F01">
            <w:pPr>
              <w:contextualSpacing/>
            </w:pPr>
          </w:p>
          <w:p w14:paraId="2DD8355A" w14:textId="77777777" w:rsidR="002012A8" w:rsidRDefault="002012A8" w:rsidP="00513F01">
            <w:pPr>
              <w:contextualSpacing/>
            </w:pPr>
          </w:p>
          <w:p w14:paraId="0281F52A" w14:textId="77777777" w:rsidR="002012A8" w:rsidRDefault="002012A8" w:rsidP="00513F01">
            <w:pPr>
              <w:contextualSpacing/>
            </w:pPr>
          </w:p>
          <w:p w14:paraId="78A1F5FA" w14:textId="77777777" w:rsidR="002012A8" w:rsidRDefault="002012A8" w:rsidP="00513F01">
            <w:pPr>
              <w:contextualSpacing/>
            </w:pPr>
          </w:p>
          <w:p w14:paraId="5546133A" w14:textId="4EA7061A" w:rsidR="00F81733" w:rsidRDefault="002B3339" w:rsidP="00513F01">
            <w:pPr>
              <w:contextualSpacing/>
            </w:pPr>
            <w:r>
              <w:t>Montgomery</w:t>
            </w:r>
          </w:p>
          <w:p w14:paraId="0AF833E2" w14:textId="77777777" w:rsidR="002012A8" w:rsidRDefault="002012A8" w:rsidP="00513F01">
            <w:pPr>
              <w:contextualSpacing/>
            </w:pPr>
          </w:p>
          <w:p w14:paraId="35C544E0" w14:textId="78666330" w:rsidR="00CD4FBB" w:rsidRDefault="002B3339" w:rsidP="00513F01">
            <w:pPr>
              <w:contextualSpacing/>
            </w:pPr>
            <w:r>
              <w:t>Sisk/Johnson</w:t>
            </w:r>
          </w:p>
          <w:p w14:paraId="4C4E751C" w14:textId="77777777" w:rsidR="002012A8" w:rsidRDefault="002012A8" w:rsidP="000369F2">
            <w:pPr>
              <w:contextualSpacing/>
            </w:pPr>
          </w:p>
          <w:p w14:paraId="11DF979D" w14:textId="4B87664F" w:rsidR="001B0ACC" w:rsidRDefault="001B0ACC" w:rsidP="000369F2">
            <w:pPr>
              <w:contextualSpacing/>
            </w:pPr>
          </w:p>
          <w:p w14:paraId="7BB6BBB7" w14:textId="77777777" w:rsidR="002012A8" w:rsidRDefault="002012A8" w:rsidP="000369F2">
            <w:pPr>
              <w:contextualSpacing/>
            </w:pPr>
          </w:p>
          <w:p w14:paraId="0298FD2A" w14:textId="246CC462" w:rsidR="00F81733" w:rsidRDefault="00AA6670" w:rsidP="000369F2">
            <w:pPr>
              <w:contextualSpacing/>
            </w:pPr>
            <w:r>
              <w:t>Miller</w:t>
            </w:r>
          </w:p>
          <w:p w14:paraId="02C2C5A5" w14:textId="26A660B8" w:rsidR="00AA7AC7" w:rsidRDefault="00AA7AC7" w:rsidP="000369F2">
            <w:pPr>
              <w:contextualSpacing/>
            </w:pPr>
          </w:p>
          <w:p w14:paraId="06273431" w14:textId="77777777" w:rsidR="002012A8" w:rsidRDefault="002012A8" w:rsidP="000369F2">
            <w:pPr>
              <w:contextualSpacing/>
            </w:pPr>
          </w:p>
          <w:p w14:paraId="74FF5A89" w14:textId="3F0AF1D8" w:rsidR="002D0756" w:rsidRDefault="002012A8" w:rsidP="000369F2">
            <w:pPr>
              <w:contextualSpacing/>
            </w:pPr>
            <w:r>
              <w:t xml:space="preserve">Anthony Hogg, </w:t>
            </w:r>
            <w:r w:rsidR="00932568">
              <w:t>TCHC</w:t>
            </w:r>
            <w:r>
              <w:t xml:space="preserve"> Staff</w:t>
            </w:r>
            <w:r w:rsidR="00932568">
              <w:t xml:space="preserve"> </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2B11F13C" w:rsidR="00E03698" w:rsidRPr="002012A8" w:rsidRDefault="00E03698" w:rsidP="00966AF4">
            <w:pPr>
              <w:pStyle w:val="ListParagraph"/>
              <w:numPr>
                <w:ilvl w:val="1"/>
                <w:numId w:val="2"/>
              </w:numPr>
              <w:rPr>
                <w:b/>
                <w:color w:val="0563C1" w:themeColor="hyperlink"/>
              </w:rPr>
            </w:pPr>
            <w:r w:rsidRPr="002012A8">
              <w:rPr>
                <w:b/>
              </w:rPr>
              <w:t xml:space="preserve">Approval of CoC Board Meeting Minutes from </w:t>
            </w:r>
            <w:r w:rsidR="00B84E44" w:rsidRPr="002012A8">
              <w:rPr>
                <w:b/>
              </w:rPr>
              <w:t>April</w:t>
            </w:r>
            <w:r w:rsidRPr="002012A8">
              <w:rPr>
                <w:b/>
              </w:rPr>
              <w:t xml:space="preserve"> </w:t>
            </w:r>
            <w:r w:rsidR="006B4E4E" w:rsidRPr="002012A8">
              <w:rPr>
                <w:b/>
              </w:rPr>
              <w:t>2</w:t>
            </w:r>
            <w:r w:rsidR="00B84E44" w:rsidRPr="002012A8">
              <w:rPr>
                <w:b/>
              </w:rPr>
              <w:t>2</w:t>
            </w:r>
            <w:r w:rsidRPr="002012A8">
              <w:rPr>
                <w:b/>
              </w:rPr>
              <w:t>, 201</w:t>
            </w:r>
            <w:r w:rsidR="006B4E4E" w:rsidRPr="002012A8">
              <w:rPr>
                <w:b/>
              </w:rPr>
              <w:t>9</w:t>
            </w:r>
          </w:p>
          <w:p w14:paraId="6A604ED4" w14:textId="13B6D482" w:rsidR="002012A8" w:rsidRPr="002012A8" w:rsidRDefault="002012A8" w:rsidP="002012A8">
            <w:pPr>
              <w:pStyle w:val="ListParagraph"/>
              <w:numPr>
                <w:ilvl w:val="0"/>
                <w:numId w:val="14"/>
              </w:numPr>
            </w:pPr>
            <w:r w:rsidRPr="002012A8">
              <w:t>Steve Montgomer</w:t>
            </w:r>
            <w:r w:rsidR="000D4FC6">
              <w:t>y</w:t>
            </w:r>
          </w:p>
          <w:p w14:paraId="1DC3E878" w14:textId="3E906042" w:rsidR="002012A8" w:rsidRDefault="002012A8" w:rsidP="002012A8">
            <w:pPr>
              <w:pStyle w:val="ListParagraph"/>
              <w:numPr>
                <w:ilvl w:val="0"/>
                <w:numId w:val="14"/>
              </w:numPr>
            </w:pPr>
            <w:r w:rsidRPr="002012A8">
              <w:t>Norbert White</w:t>
            </w:r>
          </w:p>
          <w:p w14:paraId="43C99EA4" w14:textId="745E0857" w:rsidR="002012A8" w:rsidRDefault="002012A8" w:rsidP="002012A8">
            <w:pPr>
              <w:pStyle w:val="ListParagraph"/>
              <w:numPr>
                <w:ilvl w:val="0"/>
                <w:numId w:val="14"/>
              </w:numPr>
            </w:pPr>
            <w:r>
              <w:t>All approved</w:t>
            </w:r>
          </w:p>
          <w:p w14:paraId="418FCFAF" w14:textId="4684880A" w:rsidR="002012A8" w:rsidRDefault="002012A8" w:rsidP="002012A8">
            <w:pPr>
              <w:pStyle w:val="ListParagraph"/>
            </w:pPr>
          </w:p>
          <w:p w14:paraId="3F32EE6E" w14:textId="1E3B7133" w:rsidR="00991C59" w:rsidRPr="002012A8" w:rsidRDefault="00991C59" w:rsidP="00991C59">
            <w:pPr>
              <w:pStyle w:val="ListParagraph"/>
              <w:numPr>
                <w:ilvl w:val="1"/>
                <w:numId w:val="2"/>
              </w:numPr>
              <w:rPr>
                <w:b/>
                <w:color w:val="0563C1" w:themeColor="hyperlink"/>
              </w:rPr>
            </w:pPr>
            <w:r>
              <w:rPr>
                <w:b/>
              </w:rPr>
              <w:t xml:space="preserve">Added Not Listed on the Agenda: </w:t>
            </w:r>
            <w:r w:rsidRPr="002012A8">
              <w:rPr>
                <w:b/>
              </w:rPr>
              <w:t xml:space="preserve">Approval of </w:t>
            </w:r>
            <w:r>
              <w:rPr>
                <w:b/>
              </w:rPr>
              <w:t xml:space="preserve">changing the </w:t>
            </w:r>
            <w:r w:rsidRPr="002012A8">
              <w:rPr>
                <w:b/>
              </w:rPr>
              <w:t>CoC Board Meeting</w:t>
            </w:r>
            <w:r>
              <w:rPr>
                <w:b/>
              </w:rPr>
              <w:t xml:space="preserve">s from monthly to every other month. </w:t>
            </w:r>
          </w:p>
          <w:p w14:paraId="1FF1D205" w14:textId="1A2AC81A" w:rsidR="00991C59" w:rsidRPr="002012A8" w:rsidRDefault="00991C59" w:rsidP="00991C59">
            <w:pPr>
              <w:ind w:left="360"/>
            </w:pPr>
            <w:r>
              <w:t>1. Scott Rule</w:t>
            </w:r>
          </w:p>
          <w:p w14:paraId="1B12DE6A" w14:textId="19465A5E" w:rsidR="00991C59" w:rsidRDefault="00991C59" w:rsidP="00991C59">
            <w:pPr>
              <w:ind w:left="360"/>
            </w:pPr>
            <w:r>
              <w:t>2. Pat Jacob</w:t>
            </w:r>
          </w:p>
          <w:p w14:paraId="3DEB3EC2" w14:textId="15AE55D8" w:rsidR="00991C59" w:rsidRDefault="00991C59" w:rsidP="00991C59">
            <w:pPr>
              <w:ind w:left="360"/>
            </w:pPr>
            <w:r>
              <w:t>3. All approved</w:t>
            </w:r>
          </w:p>
          <w:p w14:paraId="6563C2BE" w14:textId="77777777" w:rsidR="00991C59" w:rsidRPr="002012A8" w:rsidRDefault="00991C59" w:rsidP="002012A8">
            <w:pPr>
              <w:pStyle w:val="ListParagraph"/>
            </w:pPr>
          </w:p>
          <w:p w14:paraId="6495EF0F" w14:textId="0A0CBB94" w:rsidR="005A7A9E" w:rsidRPr="005A7A9E" w:rsidRDefault="005A7A9E" w:rsidP="00932568">
            <w:pPr>
              <w:pStyle w:val="ListParagraph"/>
              <w:rPr>
                <w:color w:val="0563C1" w:themeColor="hyperlink"/>
              </w:rPr>
            </w:pPr>
          </w:p>
        </w:tc>
        <w:tc>
          <w:tcPr>
            <w:tcW w:w="1086" w:type="pct"/>
            <w:tcBorders>
              <w:top w:val="nil"/>
              <w:bottom w:val="nil"/>
            </w:tcBorders>
          </w:tcPr>
          <w:p w14:paraId="44D250E3" w14:textId="534D2647" w:rsidR="00E03698" w:rsidRDefault="00B84E44" w:rsidP="00513F01">
            <w:pPr>
              <w:contextualSpacing/>
            </w:pPr>
            <w:r>
              <w:t>Owen</w:t>
            </w:r>
          </w:p>
          <w:p w14:paraId="6700FC2C" w14:textId="79088049" w:rsidR="00394CBD" w:rsidRPr="007474D4" w:rsidRDefault="00394CBD" w:rsidP="0068374D">
            <w:pPr>
              <w:contextualSpacing/>
            </w:pPr>
          </w:p>
        </w:tc>
      </w:tr>
      <w:tr w:rsidR="00122712" w:rsidRPr="007474D4" w14:paraId="32995757" w14:textId="77777777" w:rsidTr="00E824C4">
        <w:tc>
          <w:tcPr>
            <w:tcW w:w="3914" w:type="pct"/>
            <w:tcBorders>
              <w:top w:val="single" w:sz="4" w:space="0" w:color="auto"/>
            </w:tcBorders>
          </w:tcPr>
          <w:p w14:paraId="1751912A" w14:textId="32DA350F" w:rsidR="00122712" w:rsidRDefault="00122712" w:rsidP="3F6C5F08">
            <w:pPr>
              <w:pStyle w:val="ListParagraph"/>
              <w:numPr>
                <w:ilvl w:val="0"/>
                <w:numId w:val="2"/>
              </w:numPr>
              <w:rPr>
                <w:b/>
                <w:bCs/>
              </w:rPr>
            </w:pPr>
            <w:r w:rsidRPr="3F6C5F08">
              <w:rPr>
                <w:b/>
                <w:bCs/>
              </w:rPr>
              <w:t>Request for Future Agenda Items</w:t>
            </w:r>
          </w:p>
          <w:p w14:paraId="78323C8A" w14:textId="03AD8275" w:rsidR="00991C59" w:rsidRDefault="00991C59" w:rsidP="00991C59">
            <w:pPr>
              <w:pStyle w:val="ListParagraph"/>
              <w:ind w:left="360"/>
            </w:pPr>
            <w:r w:rsidRPr="00991C59">
              <w:t>-No Request</w:t>
            </w:r>
          </w:p>
          <w:p w14:paraId="738665CB" w14:textId="200583EA" w:rsidR="000D4FC6" w:rsidRPr="000D4FC6" w:rsidRDefault="000D4FC6" w:rsidP="0067525F">
            <w:pPr>
              <w:pStyle w:val="ListParagraph"/>
              <w:ind w:left="360"/>
              <w:rPr>
                <w:b/>
                <w:bCs/>
              </w:rPr>
            </w:pPr>
          </w:p>
        </w:tc>
        <w:tc>
          <w:tcPr>
            <w:tcW w:w="1086" w:type="pct"/>
            <w:tcBorders>
              <w:top w:val="single" w:sz="4" w:space="0" w:color="auto"/>
            </w:tcBorders>
          </w:tcPr>
          <w:p w14:paraId="05FC1409" w14:textId="4D30416D" w:rsidR="00122712" w:rsidRPr="007474D4" w:rsidRDefault="00B84E44" w:rsidP="00513F01">
            <w:pPr>
              <w:contextualSpacing/>
            </w:pPr>
            <w:r>
              <w:t>Owen</w:t>
            </w:r>
          </w:p>
        </w:tc>
      </w:tr>
      <w:tr w:rsidR="00122712" w:rsidRPr="007474D4" w14:paraId="3DE9992D" w14:textId="77777777" w:rsidTr="00E824C4">
        <w:tc>
          <w:tcPr>
            <w:tcW w:w="3914" w:type="pct"/>
            <w:tcBorders>
              <w:bottom w:val="single" w:sz="4" w:space="0" w:color="auto"/>
            </w:tcBorders>
          </w:tcPr>
          <w:p w14:paraId="5E819C44" w14:textId="3B30CCDF" w:rsidR="00122712" w:rsidRDefault="3F6C5F08" w:rsidP="00284CB7">
            <w:pPr>
              <w:pStyle w:val="ListParagraph"/>
              <w:numPr>
                <w:ilvl w:val="0"/>
                <w:numId w:val="2"/>
              </w:numPr>
              <w:rPr>
                <w:b/>
                <w:bCs/>
              </w:rPr>
            </w:pPr>
            <w:r w:rsidRPr="3F6C5F08">
              <w:rPr>
                <w:b/>
                <w:bCs/>
              </w:rPr>
              <w:t>Public Comment</w:t>
            </w:r>
            <w:r w:rsidRPr="00284CB7">
              <w:rPr>
                <w:b/>
                <w:bCs/>
              </w:rPr>
              <w:t xml:space="preserve"> </w:t>
            </w:r>
          </w:p>
          <w:p w14:paraId="5A3056CF" w14:textId="31355059" w:rsidR="00991C59" w:rsidRPr="00991C59" w:rsidRDefault="00991C59" w:rsidP="00991C59">
            <w:pPr>
              <w:pStyle w:val="ListParagraph"/>
              <w:ind w:left="360"/>
            </w:pPr>
            <w:r w:rsidRPr="00991C59">
              <w:t>-No Comment</w:t>
            </w:r>
          </w:p>
          <w:p w14:paraId="3FB875AE" w14:textId="4AEA1379" w:rsidR="008F172B" w:rsidRPr="008F172B" w:rsidRDefault="008F172B" w:rsidP="000D4FC6">
            <w:pPr>
              <w:pStyle w:val="ListParagraph"/>
              <w:ind w:left="360"/>
              <w:rPr>
                <w:bCs/>
              </w:rPr>
            </w:pPr>
            <w:r>
              <w:rPr>
                <w:bCs/>
              </w:rPr>
              <w:t xml:space="preserve"> </w:t>
            </w:r>
          </w:p>
        </w:tc>
        <w:tc>
          <w:tcPr>
            <w:tcW w:w="1086" w:type="pct"/>
            <w:tcBorders>
              <w:bottom w:val="single" w:sz="4" w:space="0" w:color="auto"/>
            </w:tcBorders>
          </w:tcPr>
          <w:p w14:paraId="22875C38" w14:textId="4B974871" w:rsidR="00122712" w:rsidRPr="007474D4" w:rsidRDefault="00B84E44" w:rsidP="00513F01">
            <w:pPr>
              <w:contextualSpacing/>
            </w:pPr>
            <w:r>
              <w:t>Owen</w:t>
            </w:r>
          </w:p>
        </w:tc>
      </w:tr>
      <w:tr w:rsidR="00122712" w:rsidRPr="007474D4" w14:paraId="24C4287E" w14:textId="77777777" w:rsidTr="00E824C4">
        <w:tc>
          <w:tcPr>
            <w:tcW w:w="3914" w:type="pct"/>
            <w:tcBorders>
              <w:top w:val="single" w:sz="4" w:space="0" w:color="auto"/>
              <w:bottom w:val="single" w:sz="4" w:space="0" w:color="auto"/>
            </w:tcBorders>
          </w:tcPr>
          <w:p w14:paraId="3E823689" w14:textId="65583874" w:rsidR="00122712" w:rsidRDefault="00122712" w:rsidP="3F6C5F08">
            <w:pPr>
              <w:pStyle w:val="ListParagraph"/>
              <w:numPr>
                <w:ilvl w:val="0"/>
                <w:numId w:val="2"/>
              </w:numPr>
              <w:rPr>
                <w:b/>
                <w:bCs/>
              </w:rPr>
            </w:pPr>
            <w:r w:rsidRPr="3F6C5F08">
              <w:rPr>
                <w:b/>
                <w:bCs/>
              </w:rPr>
              <w:t>Adjournment</w:t>
            </w:r>
            <w:r w:rsidR="008F172B">
              <w:rPr>
                <w:b/>
                <w:bCs/>
              </w:rPr>
              <w:t>: 2:55pm</w:t>
            </w:r>
          </w:p>
          <w:p w14:paraId="62D30D90" w14:textId="46C2497C" w:rsidR="00991C59" w:rsidRPr="002012A8" w:rsidRDefault="00991C59" w:rsidP="00991C59">
            <w:pPr>
              <w:pStyle w:val="ListParagraph"/>
              <w:numPr>
                <w:ilvl w:val="1"/>
                <w:numId w:val="2"/>
              </w:numPr>
              <w:rPr>
                <w:b/>
                <w:color w:val="0563C1" w:themeColor="hyperlink"/>
              </w:rPr>
            </w:pPr>
            <w:r>
              <w:rPr>
                <w:b/>
              </w:rPr>
              <w:t>Motion for meeting to adjourn</w:t>
            </w:r>
          </w:p>
          <w:p w14:paraId="55BC4A5E" w14:textId="43065D80" w:rsidR="00991C59" w:rsidRPr="002012A8" w:rsidRDefault="00991C59" w:rsidP="00991C59">
            <w:pPr>
              <w:pStyle w:val="ListParagraph"/>
              <w:numPr>
                <w:ilvl w:val="0"/>
                <w:numId w:val="14"/>
              </w:numPr>
            </w:pPr>
            <w:r>
              <w:t>Scott Rule</w:t>
            </w:r>
          </w:p>
          <w:p w14:paraId="337DD80F" w14:textId="2181CE1B" w:rsidR="00991C59" w:rsidRDefault="00991C59" w:rsidP="00991C59">
            <w:pPr>
              <w:pStyle w:val="ListParagraph"/>
              <w:numPr>
                <w:ilvl w:val="0"/>
                <w:numId w:val="14"/>
              </w:numPr>
            </w:pPr>
            <w:r>
              <w:t>Jason Hall</w:t>
            </w:r>
          </w:p>
          <w:p w14:paraId="7DD67E1A" w14:textId="77777777" w:rsidR="00991C59" w:rsidRDefault="00991C59" w:rsidP="00991C59">
            <w:pPr>
              <w:pStyle w:val="ListParagraph"/>
              <w:numPr>
                <w:ilvl w:val="0"/>
                <w:numId w:val="14"/>
              </w:numPr>
            </w:pPr>
            <w:r>
              <w:t>All approved</w:t>
            </w:r>
          </w:p>
          <w:p w14:paraId="45A61C1A" w14:textId="663DDB61" w:rsidR="008F172B" w:rsidRPr="00991C59" w:rsidRDefault="008F172B" w:rsidP="00991C59">
            <w:pPr>
              <w:rPr>
                <w:b/>
                <w:bCs/>
              </w:rPr>
            </w:pPr>
            <w:r w:rsidRPr="00991C59">
              <w:rPr>
                <w:b/>
                <w:bCs/>
              </w:rPr>
              <w:t xml:space="preserve"> </w:t>
            </w:r>
          </w:p>
        </w:tc>
        <w:tc>
          <w:tcPr>
            <w:tcW w:w="1086" w:type="pct"/>
            <w:tcBorders>
              <w:top w:val="single" w:sz="4" w:space="0" w:color="auto"/>
              <w:bottom w:val="single" w:sz="4" w:space="0" w:color="auto"/>
            </w:tcBorders>
          </w:tcPr>
          <w:p w14:paraId="1090F999" w14:textId="21E96DBC" w:rsidR="00122712" w:rsidRPr="007474D4" w:rsidRDefault="00B84E44" w:rsidP="00513F01">
            <w:pPr>
              <w:contextualSpacing/>
            </w:pPr>
            <w:r>
              <w:t>Owen</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6906F57D" w:rsidR="00FF0C96" w:rsidRDefault="00E824C4" w:rsidP="008E740E">
      <w:pPr>
        <w:spacing w:after="0" w:line="240" w:lineRule="auto"/>
        <w:jc w:val="center"/>
        <w:rPr>
          <w:i/>
          <w:sz w:val="20"/>
          <w:szCs w:val="20"/>
        </w:rPr>
      </w:pPr>
      <w:r>
        <w:rPr>
          <w:i/>
          <w:sz w:val="20"/>
          <w:szCs w:val="20"/>
        </w:rPr>
        <w:t xml:space="preserve">CoC Board Membership will meet </w:t>
      </w:r>
      <w:r w:rsidR="00B84E44">
        <w:rPr>
          <w:i/>
          <w:sz w:val="20"/>
          <w:szCs w:val="20"/>
        </w:rPr>
        <w:t>Ju</w:t>
      </w:r>
      <w:r w:rsidR="006A6E78">
        <w:rPr>
          <w:i/>
          <w:sz w:val="20"/>
          <w:szCs w:val="20"/>
        </w:rPr>
        <w:t>ly 22,2019</w:t>
      </w:r>
      <w:r w:rsidR="005A7A9E">
        <w:rPr>
          <w:i/>
          <w:sz w:val="20"/>
          <w:szCs w:val="20"/>
        </w:rPr>
        <w:t xml:space="preserve"> </w:t>
      </w:r>
      <w:r>
        <w:rPr>
          <w:i/>
          <w:sz w:val="20"/>
          <w:szCs w:val="20"/>
        </w:rPr>
        <w:t xml:space="preserve">@ 1:30pm at </w:t>
      </w:r>
      <w:r w:rsidR="00CD7039">
        <w:rPr>
          <w:i/>
          <w:sz w:val="20"/>
          <w:szCs w:val="20"/>
        </w:rPr>
        <w:t>Tarrant County Homeless Coalition</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070D" w14:textId="77777777" w:rsidR="00A6056D" w:rsidRDefault="00A6056D" w:rsidP="0062674F">
      <w:pPr>
        <w:spacing w:after="0" w:line="240" w:lineRule="auto"/>
      </w:pPr>
      <w:r>
        <w:separator/>
      </w:r>
    </w:p>
  </w:endnote>
  <w:endnote w:type="continuationSeparator" w:id="0">
    <w:p w14:paraId="39CC3E15" w14:textId="77777777" w:rsidR="00A6056D" w:rsidRDefault="00A6056D" w:rsidP="0062674F">
      <w:pPr>
        <w:spacing w:after="0" w:line="240" w:lineRule="auto"/>
      </w:pPr>
      <w:r>
        <w:continuationSeparator/>
      </w:r>
    </w:p>
  </w:endnote>
  <w:endnote w:type="continuationNotice" w:id="1">
    <w:p w14:paraId="3DD6D3A9" w14:textId="77777777" w:rsidR="00A6056D" w:rsidRDefault="00A6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E3D4" w14:textId="77777777" w:rsidR="00A6056D" w:rsidRDefault="00A6056D" w:rsidP="0062674F">
      <w:pPr>
        <w:spacing w:after="0" w:line="240" w:lineRule="auto"/>
      </w:pPr>
      <w:r>
        <w:separator/>
      </w:r>
    </w:p>
  </w:footnote>
  <w:footnote w:type="continuationSeparator" w:id="0">
    <w:p w14:paraId="22683F1E" w14:textId="77777777" w:rsidR="00A6056D" w:rsidRDefault="00A6056D" w:rsidP="0062674F">
      <w:pPr>
        <w:spacing w:after="0" w:line="240" w:lineRule="auto"/>
      </w:pPr>
      <w:r>
        <w:continuationSeparator/>
      </w:r>
    </w:p>
  </w:footnote>
  <w:footnote w:type="continuationNotice" w:id="1">
    <w:p w14:paraId="7A0BAB11" w14:textId="77777777" w:rsidR="00A6056D" w:rsidRDefault="00A60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1E5947"/>
    <w:multiLevelType w:val="hybridMultilevel"/>
    <w:tmpl w:val="74625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F4712"/>
    <w:multiLevelType w:val="hybridMultilevel"/>
    <w:tmpl w:val="CDF2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2"/>
  </w:num>
  <w:num w:numId="6">
    <w:abstractNumId w:val="10"/>
  </w:num>
  <w:num w:numId="7">
    <w:abstractNumId w:val="0"/>
  </w:num>
  <w:num w:numId="8">
    <w:abstractNumId w:val="8"/>
  </w:num>
  <w:num w:numId="9">
    <w:abstractNumId w:val="1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D4FC6"/>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4457"/>
    <w:rsid w:val="00165B62"/>
    <w:rsid w:val="001870C5"/>
    <w:rsid w:val="00187DD2"/>
    <w:rsid w:val="0019067B"/>
    <w:rsid w:val="00191DB0"/>
    <w:rsid w:val="001A6E18"/>
    <w:rsid w:val="001B0ACC"/>
    <w:rsid w:val="001B3D5D"/>
    <w:rsid w:val="001B76E3"/>
    <w:rsid w:val="001C1FA9"/>
    <w:rsid w:val="001E1014"/>
    <w:rsid w:val="001E1494"/>
    <w:rsid w:val="001E5D9D"/>
    <w:rsid w:val="002012A8"/>
    <w:rsid w:val="00202213"/>
    <w:rsid w:val="00210101"/>
    <w:rsid w:val="00213F66"/>
    <w:rsid w:val="00226B51"/>
    <w:rsid w:val="00230182"/>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B7974"/>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77B5D"/>
    <w:rsid w:val="003939F1"/>
    <w:rsid w:val="00393FD1"/>
    <w:rsid w:val="00394CBD"/>
    <w:rsid w:val="003A061E"/>
    <w:rsid w:val="003B20C8"/>
    <w:rsid w:val="003B5BF7"/>
    <w:rsid w:val="003B722D"/>
    <w:rsid w:val="003C221B"/>
    <w:rsid w:val="003C5CC7"/>
    <w:rsid w:val="003D1CF4"/>
    <w:rsid w:val="003D3579"/>
    <w:rsid w:val="003D3D93"/>
    <w:rsid w:val="003D6D40"/>
    <w:rsid w:val="003E6879"/>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6E09"/>
    <w:rsid w:val="005478C7"/>
    <w:rsid w:val="00554F28"/>
    <w:rsid w:val="00556BA9"/>
    <w:rsid w:val="0056788F"/>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7525F"/>
    <w:rsid w:val="00682A46"/>
    <w:rsid w:val="0068374D"/>
    <w:rsid w:val="006871B0"/>
    <w:rsid w:val="006A6E78"/>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D7F07"/>
    <w:rsid w:val="007E05F3"/>
    <w:rsid w:val="007F33D8"/>
    <w:rsid w:val="007F5C0B"/>
    <w:rsid w:val="008006C0"/>
    <w:rsid w:val="00801A8F"/>
    <w:rsid w:val="008024E4"/>
    <w:rsid w:val="008036C3"/>
    <w:rsid w:val="008042F0"/>
    <w:rsid w:val="00804652"/>
    <w:rsid w:val="008060E0"/>
    <w:rsid w:val="00806D51"/>
    <w:rsid w:val="00820982"/>
    <w:rsid w:val="00823E6D"/>
    <w:rsid w:val="008262D2"/>
    <w:rsid w:val="008303A8"/>
    <w:rsid w:val="00830F4A"/>
    <w:rsid w:val="008401E2"/>
    <w:rsid w:val="00843A88"/>
    <w:rsid w:val="00845AAB"/>
    <w:rsid w:val="00845E58"/>
    <w:rsid w:val="00860515"/>
    <w:rsid w:val="008618B0"/>
    <w:rsid w:val="008772B6"/>
    <w:rsid w:val="00882F90"/>
    <w:rsid w:val="008847CD"/>
    <w:rsid w:val="008A572F"/>
    <w:rsid w:val="008A6936"/>
    <w:rsid w:val="008B4630"/>
    <w:rsid w:val="008D0804"/>
    <w:rsid w:val="008D6359"/>
    <w:rsid w:val="008D7362"/>
    <w:rsid w:val="008E0FE2"/>
    <w:rsid w:val="008E124B"/>
    <w:rsid w:val="008E6578"/>
    <w:rsid w:val="008E740E"/>
    <w:rsid w:val="008F172B"/>
    <w:rsid w:val="008F3983"/>
    <w:rsid w:val="008F736C"/>
    <w:rsid w:val="00911053"/>
    <w:rsid w:val="00913D70"/>
    <w:rsid w:val="009178A4"/>
    <w:rsid w:val="0092130B"/>
    <w:rsid w:val="00932568"/>
    <w:rsid w:val="00935F9F"/>
    <w:rsid w:val="00941181"/>
    <w:rsid w:val="0094502C"/>
    <w:rsid w:val="00950E8D"/>
    <w:rsid w:val="009530E9"/>
    <w:rsid w:val="00954AE2"/>
    <w:rsid w:val="00965094"/>
    <w:rsid w:val="00966AF4"/>
    <w:rsid w:val="00967820"/>
    <w:rsid w:val="009831C0"/>
    <w:rsid w:val="009913A8"/>
    <w:rsid w:val="00991C59"/>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056D"/>
    <w:rsid w:val="00A64392"/>
    <w:rsid w:val="00A6528A"/>
    <w:rsid w:val="00A65C1E"/>
    <w:rsid w:val="00A663F1"/>
    <w:rsid w:val="00A82C28"/>
    <w:rsid w:val="00A869A1"/>
    <w:rsid w:val="00A87988"/>
    <w:rsid w:val="00A93016"/>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1545"/>
    <w:rsid w:val="00B527AF"/>
    <w:rsid w:val="00B7179E"/>
    <w:rsid w:val="00B74AD5"/>
    <w:rsid w:val="00B837DD"/>
    <w:rsid w:val="00B84E44"/>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31739"/>
    <w:rsid w:val="00C44928"/>
    <w:rsid w:val="00C4727F"/>
    <w:rsid w:val="00C57C4B"/>
    <w:rsid w:val="00C67653"/>
    <w:rsid w:val="00C74836"/>
    <w:rsid w:val="00C769D8"/>
    <w:rsid w:val="00C875FD"/>
    <w:rsid w:val="00C93DC7"/>
    <w:rsid w:val="00C94CD6"/>
    <w:rsid w:val="00C96CBC"/>
    <w:rsid w:val="00CA2055"/>
    <w:rsid w:val="00CA7367"/>
    <w:rsid w:val="00CC06D3"/>
    <w:rsid w:val="00CD4FBB"/>
    <w:rsid w:val="00CD7039"/>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C83566-C5FA-4696-9ABC-6C342A88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2019-03-22T20:07:00Z</cp:lastPrinted>
  <dcterms:created xsi:type="dcterms:W3CDTF">2019-07-18T23:55:00Z</dcterms:created>
  <dcterms:modified xsi:type="dcterms:W3CDTF">2019-07-18T23:55:00Z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