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3AC09CAA" w:rsidR="000C1632" w:rsidRPr="00AF624E" w:rsidRDefault="00504BCE" w:rsidP="000C1632">
      <w:r>
        <w:t>3</w:t>
      </w:r>
      <w:r w:rsidRPr="00504BCE">
        <w:rPr>
          <w:vertAlign w:val="superscript"/>
        </w:rPr>
        <w:t>rd</w:t>
      </w:r>
      <w:r>
        <w:t xml:space="preserve"> Monday at noon</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68D31F95" w14:textId="48035009" w:rsidR="000C1632" w:rsidRDefault="00E10F63" w:rsidP="00CA04B8">
            <w:r>
              <w:t>November 16, 2020</w:t>
            </w:r>
          </w:p>
          <w:p w14:paraId="22F3D473" w14:textId="7F771AAE" w:rsidR="004F3F7F" w:rsidRPr="00AF624E" w:rsidRDefault="004F3F7F" w:rsidP="00CA04B8">
            <w:r>
              <w:t>Virtual</w:t>
            </w:r>
          </w:p>
        </w:tc>
        <w:tc>
          <w:tcPr>
            <w:tcW w:w="3117" w:type="dxa"/>
          </w:tcPr>
          <w:p w14:paraId="33C6B112" w14:textId="558E7FF0" w:rsidR="000C1632" w:rsidRDefault="00E10F63" w:rsidP="00CA04B8">
            <w:r>
              <w:t>December 14, 2020</w:t>
            </w:r>
          </w:p>
          <w:p w14:paraId="09BE9B42" w14:textId="0A8EF020" w:rsidR="004F3F7F" w:rsidRPr="00AF624E" w:rsidRDefault="004F3F7F" w:rsidP="00CA04B8">
            <w:r>
              <w:t>Virtual</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1D9E8DDA" w14:textId="24B75983" w:rsidR="00E10F63" w:rsidRDefault="00320D9D" w:rsidP="009B6652">
      <w:pPr>
        <w:rPr>
          <w:sz w:val="24"/>
          <w:szCs w:val="24"/>
        </w:rPr>
      </w:pPr>
      <w:bookmarkStart w:id="0" w:name="_Hlk525539907"/>
      <w:r>
        <w:rPr>
          <w:sz w:val="24"/>
          <w:szCs w:val="24"/>
        </w:rPr>
        <w:t xml:space="preserve">Improvement, Coordination &amp; Training Committee met in </w:t>
      </w:r>
      <w:r w:rsidR="00E10F63">
        <w:rPr>
          <w:sz w:val="24"/>
          <w:szCs w:val="24"/>
        </w:rPr>
        <w:t>October and November</w:t>
      </w:r>
      <w:r>
        <w:rPr>
          <w:sz w:val="24"/>
          <w:szCs w:val="24"/>
        </w:rPr>
        <w:t>.</w:t>
      </w:r>
      <w:r w:rsidR="00E10F63">
        <w:rPr>
          <w:sz w:val="24"/>
          <w:szCs w:val="24"/>
        </w:rPr>
        <w:t xml:space="preserve"> Additionally, all members of the </w:t>
      </w:r>
      <w:proofErr w:type="spellStart"/>
      <w:r w:rsidR="00E10F63">
        <w:rPr>
          <w:sz w:val="24"/>
          <w:szCs w:val="24"/>
        </w:rPr>
        <w:t>CoC</w:t>
      </w:r>
      <w:proofErr w:type="spellEnd"/>
      <w:r w:rsidR="00E10F63">
        <w:rPr>
          <w:sz w:val="24"/>
          <w:szCs w:val="24"/>
        </w:rPr>
        <w:t xml:space="preserve"> were asked to identify one voting member for the committee. Meetings continue to be open and providers are encouraged to attend and participate.</w:t>
      </w:r>
      <w:r w:rsidR="00E4008E">
        <w:rPr>
          <w:sz w:val="24"/>
          <w:szCs w:val="24"/>
        </w:rPr>
        <w:t xml:space="preserve"> A strategic review of subcommittees is occurring.</w:t>
      </w:r>
    </w:p>
    <w:p w14:paraId="3A5C2573" w14:textId="77777777" w:rsidR="00E10F63" w:rsidRDefault="00E10F63" w:rsidP="009B6652">
      <w:pPr>
        <w:rPr>
          <w:sz w:val="24"/>
          <w:szCs w:val="24"/>
        </w:rPr>
      </w:pPr>
    </w:p>
    <w:p w14:paraId="5B652999" w14:textId="77777777" w:rsidR="00E10F63" w:rsidRDefault="00E10F63" w:rsidP="009B6652">
      <w:pPr>
        <w:rPr>
          <w:sz w:val="24"/>
          <w:szCs w:val="24"/>
        </w:rPr>
      </w:pPr>
      <w:r>
        <w:rPr>
          <w:sz w:val="24"/>
          <w:szCs w:val="24"/>
        </w:rPr>
        <w:t>The October meeting was a joint meeting with Performance Workgroup and the HMIS Committee to discuss what public-facing dashboards would look like, what information they would contain and how the information would be used.</w:t>
      </w:r>
    </w:p>
    <w:p w14:paraId="51F63EC6" w14:textId="77777777" w:rsidR="00E10F63" w:rsidRDefault="00E10F63" w:rsidP="009B6652">
      <w:pPr>
        <w:rPr>
          <w:sz w:val="24"/>
          <w:szCs w:val="24"/>
        </w:rPr>
      </w:pPr>
    </w:p>
    <w:p w14:paraId="567DB64E" w14:textId="77777777" w:rsidR="00E10F63" w:rsidRDefault="00E10F63" w:rsidP="009B6652">
      <w:pPr>
        <w:rPr>
          <w:sz w:val="24"/>
          <w:szCs w:val="24"/>
        </w:rPr>
      </w:pPr>
      <w:r>
        <w:rPr>
          <w:sz w:val="24"/>
          <w:szCs w:val="24"/>
        </w:rPr>
        <w:t>November:</w:t>
      </w:r>
    </w:p>
    <w:p w14:paraId="0B30BB75" w14:textId="77777777" w:rsidR="00E10F63" w:rsidRDefault="00E10F63" w:rsidP="009B6652">
      <w:pPr>
        <w:rPr>
          <w:sz w:val="24"/>
          <w:szCs w:val="24"/>
        </w:rPr>
      </w:pPr>
      <w:r>
        <w:rPr>
          <w:sz w:val="24"/>
          <w:szCs w:val="24"/>
        </w:rPr>
        <w:t>The ICT end of year dashboard was reviewed. Number of people served increased by 6%.</w:t>
      </w:r>
    </w:p>
    <w:p w14:paraId="3B33317F" w14:textId="77777777" w:rsidR="00E10F63" w:rsidRDefault="00E10F63" w:rsidP="009B6652">
      <w:pPr>
        <w:rPr>
          <w:sz w:val="24"/>
          <w:szCs w:val="24"/>
        </w:rPr>
      </w:pPr>
    </w:p>
    <w:p w14:paraId="166E95B6" w14:textId="77777777" w:rsidR="00E10F63" w:rsidRDefault="00E10F63" w:rsidP="009B6652">
      <w:pPr>
        <w:rPr>
          <w:sz w:val="24"/>
          <w:szCs w:val="24"/>
        </w:rPr>
      </w:pPr>
      <w:r>
        <w:rPr>
          <w:sz w:val="24"/>
          <w:szCs w:val="24"/>
        </w:rPr>
        <w:t xml:space="preserve">The ICT Committee is forming a Bridge Housing Workgroup to design how bridge housing will work in our Continuum. One potential model was presented along with questions regarding how providers would like to see bridge housing work. TCHC has pulled </w:t>
      </w:r>
      <w:proofErr w:type="gramStart"/>
      <w:r>
        <w:rPr>
          <w:sz w:val="24"/>
          <w:szCs w:val="24"/>
        </w:rPr>
        <w:t>a number of</w:t>
      </w:r>
      <w:proofErr w:type="gramEnd"/>
      <w:r>
        <w:rPr>
          <w:sz w:val="24"/>
          <w:szCs w:val="24"/>
        </w:rPr>
        <w:t xml:space="preserve"> models from across the country to consider.</w:t>
      </w:r>
    </w:p>
    <w:p w14:paraId="57559E25" w14:textId="77777777" w:rsidR="00E10F63" w:rsidRDefault="00E10F63" w:rsidP="009B6652">
      <w:pPr>
        <w:rPr>
          <w:sz w:val="24"/>
          <w:szCs w:val="24"/>
        </w:rPr>
      </w:pPr>
    </w:p>
    <w:p w14:paraId="53F6D070" w14:textId="6B3B2B71" w:rsidR="00E10F63" w:rsidRDefault="00E10F63" w:rsidP="009B6652">
      <w:pPr>
        <w:rPr>
          <w:sz w:val="24"/>
          <w:szCs w:val="24"/>
        </w:rPr>
      </w:pPr>
      <w:r>
        <w:rPr>
          <w:sz w:val="24"/>
          <w:szCs w:val="24"/>
        </w:rPr>
        <w:t>Family Committee reported updated group on their review and possibility of moving toward USICH benchmarks as their data alignment.</w:t>
      </w:r>
    </w:p>
    <w:p w14:paraId="57FE87A9" w14:textId="5AA730BD" w:rsidR="00E10F63" w:rsidRDefault="00E10F63" w:rsidP="009B6652">
      <w:pPr>
        <w:rPr>
          <w:sz w:val="24"/>
          <w:szCs w:val="24"/>
        </w:rPr>
      </w:pPr>
    </w:p>
    <w:p w14:paraId="5B05B466" w14:textId="14C881DC" w:rsidR="00E10F63" w:rsidRDefault="00E10F63" w:rsidP="009B6652">
      <w:pPr>
        <w:rPr>
          <w:sz w:val="24"/>
          <w:szCs w:val="24"/>
        </w:rPr>
      </w:pPr>
      <w:r>
        <w:rPr>
          <w:sz w:val="24"/>
          <w:szCs w:val="24"/>
        </w:rPr>
        <w:t>Discussion was had about the Housing 500 Challenge to identify barriers and better understand what is keeping our system from getting back to pre-COVID levels of housing and flow in our system.</w:t>
      </w:r>
    </w:p>
    <w:p w14:paraId="3152A6AA" w14:textId="65A192EC" w:rsidR="004F3F7F" w:rsidRPr="00E10F63" w:rsidRDefault="004F3F7F" w:rsidP="00E10F63">
      <w:pPr>
        <w:rPr>
          <w:sz w:val="24"/>
          <w:szCs w:val="24"/>
        </w:rPr>
      </w:pPr>
    </w:p>
    <w:bookmarkEnd w:id="0"/>
    <w:p w14:paraId="399FD118" w14:textId="44FF4962" w:rsidR="009B6652" w:rsidRDefault="009B6652" w:rsidP="009B6652">
      <w:pPr>
        <w:pStyle w:val="Heading2"/>
      </w:pPr>
      <w:r>
        <w:t>Key Takeaways</w:t>
      </w:r>
    </w:p>
    <w:p w14:paraId="562A9262" w14:textId="18F234BF" w:rsidR="00E63877" w:rsidRDefault="00E63877" w:rsidP="002A2684">
      <w:pPr>
        <w:rPr>
          <w:bCs/>
          <w:sz w:val="24"/>
          <w:szCs w:val="24"/>
        </w:rPr>
      </w:pPr>
    </w:p>
    <w:p w14:paraId="7D8DEDA7" w14:textId="042BA9F6" w:rsidR="00D748D4" w:rsidRDefault="00E10F63" w:rsidP="002A2684">
      <w:pPr>
        <w:rPr>
          <w:bCs/>
          <w:sz w:val="24"/>
          <w:szCs w:val="24"/>
        </w:rPr>
      </w:pPr>
      <w:r>
        <w:rPr>
          <w:bCs/>
          <w:sz w:val="24"/>
          <w:szCs w:val="24"/>
        </w:rPr>
        <w:t>Bridge Housing Workgroup will begin meeting to design process for our community.</w:t>
      </w:r>
    </w:p>
    <w:p w14:paraId="1A2405A8" w14:textId="72F9B5DA" w:rsidR="00E10F63" w:rsidRDefault="00E10F63" w:rsidP="002A2684">
      <w:pPr>
        <w:rPr>
          <w:bCs/>
          <w:sz w:val="24"/>
          <w:szCs w:val="24"/>
        </w:rPr>
      </w:pPr>
    </w:p>
    <w:p w14:paraId="70C25265" w14:textId="33C6A452" w:rsidR="00E10F63" w:rsidRDefault="00E4008E" w:rsidP="002A2684">
      <w:pPr>
        <w:rPr>
          <w:bCs/>
          <w:sz w:val="24"/>
          <w:szCs w:val="24"/>
        </w:rPr>
      </w:pPr>
      <w:r>
        <w:rPr>
          <w:bCs/>
          <w:sz w:val="24"/>
          <w:szCs w:val="24"/>
        </w:rPr>
        <w:t>The Housing 500 Challenge has identified some significant barriers to getting people housed.</w:t>
      </w:r>
    </w:p>
    <w:p w14:paraId="669AA2A5" w14:textId="555E915F" w:rsidR="00E4008E" w:rsidRDefault="00E4008E" w:rsidP="002A2684">
      <w:pPr>
        <w:rPr>
          <w:bCs/>
          <w:sz w:val="24"/>
          <w:szCs w:val="24"/>
        </w:rPr>
      </w:pPr>
    </w:p>
    <w:p w14:paraId="27FBC5E6" w14:textId="045A9480" w:rsidR="00E4008E" w:rsidRDefault="00E4008E" w:rsidP="002A2684">
      <w:pPr>
        <w:rPr>
          <w:bCs/>
          <w:sz w:val="24"/>
          <w:szCs w:val="24"/>
        </w:rPr>
      </w:pPr>
      <w:r>
        <w:rPr>
          <w:bCs/>
          <w:sz w:val="24"/>
          <w:szCs w:val="24"/>
        </w:rPr>
        <w:t>Public-facing dashboards should be available in the next few months.</w:t>
      </w:r>
    </w:p>
    <w:p w14:paraId="25A3D369" w14:textId="77777777" w:rsidR="004C367A" w:rsidRPr="00117D48" w:rsidRDefault="004C367A" w:rsidP="002A2684">
      <w:pPr>
        <w:rPr>
          <w:bCs/>
        </w:rPr>
      </w:pPr>
    </w:p>
    <w:p w14:paraId="2E0C826E" w14:textId="77777777" w:rsidR="002A2684" w:rsidRDefault="002A2684" w:rsidP="002A2684">
      <w:pPr>
        <w:pStyle w:val="Heading2"/>
      </w:pPr>
      <w:r>
        <w:t xml:space="preserve">Recommendations to </w:t>
      </w:r>
      <w:proofErr w:type="spellStart"/>
      <w:r>
        <w:t>CoC</w:t>
      </w:r>
      <w:proofErr w:type="spellEnd"/>
      <w:r>
        <w:t xml:space="preserve"> Board</w:t>
      </w:r>
    </w:p>
    <w:p w14:paraId="29AB14CB" w14:textId="77777777" w:rsidR="004C367A" w:rsidRDefault="004C367A" w:rsidP="00196031">
      <w:pPr>
        <w:rPr>
          <w:sz w:val="24"/>
          <w:szCs w:val="24"/>
        </w:rPr>
      </w:pPr>
    </w:p>
    <w:p w14:paraId="4DB76245" w14:textId="6C796483" w:rsidR="002A2684" w:rsidRPr="0081398F" w:rsidRDefault="004C367A" w:rsidP="00196031">
      <w:pPr>
        <w:rPr>
          <w:sz w:val="24"/>
          <w:szCs w:val="24"/>
        </w:rPr>
      </w:pPr>
      <w:r>
        <w:rPr>
          <w:sz w:val="24"/>
          <w:szCs w:val="24"/>
        </w:rPr>
        <w:t>No action needed by</w:t>
      </w:r>
      <w:r w:rsidR="009B6652">
        <w:rPr>
          <w:sz w:val="24"/>
          <w:szCs w:val="24"/>
        </w:rPr>
        <w:t xml:space="preserve"> the </w:t>
      </w:r>
      <w:proofErr w:type="spellStart"/>
      <w:r w:rsidR="009B6652">
        <w:rPr>
          <w:sz w:val="24"/>
          <w:szCs w:val="24"/>
        </w:rPr>
        <w:t>CoC</w:t>
      </w:r>
      <w:proofErr w:type="spellEnd"/>
      <w:r w:rsidR="009B6652">
        <w:rPr>
          <w:sz w:val="24"/>
          <w:szCs w:val="24"/>
        </w:rPr>
        <w:t xml:space="preserve"> Board </w:t>
      </w:r>
      <w:r>
        <w:rPr>
          <w:sz w:val="24"/>
          <w:szCs w:val="24"/>
        </w:rPr>
        <w:t>at this time</w:t>
      </w:r>
      <w:r w:rsidR="009B6652">
        <w:rPr>
          <w:sz w:val="24"/>
          <w:szCs w:val="24"/>
        </w:rPr>
        <w:t>.</w:t>
      </w:r>
    </w:p>
    <w:sectPr w:rsidR="002A2684" w:rsidRPr="0081398F"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FCD5F" w14:textId="77777777" w:rsidR="00DD546F" w:rsidRDefault="00DD546F" w:rsidP="0053213F">
      <w:r>
        <w:separator/>
      </w:r>
    </w:p>
  </w:endnote>
  <w:endnote w:type="continuationSeparator" w:id="0">
    <w:p w14:paraId="240CF59E" w14:textId="77777777" w:rsidR="00DD546F" w:rsidRDefault="00DD546F"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DD546F"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CBFB1" w14:textId="77777777" w:rsidR="00DD546F" w:rsidRDefault="00DD546F" w:rsidP="0053213F">
      <w:r>
        <w:separator/>
      </w:r>
    </w:p>
  </w:footnote>
  <w:footnote w:type="continuationSeparator" w:id="0">
    <w:p w14:paraId="5627F806" w14:textId="77777777" w:rsidR="00DD546F" w:rsidRDefault="00DD546F"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3D0727" w14:paraId="50A66AC6" w14:textId="77777777" w:rsidTr="00CD6FB4">
      <w:tc>
        <w:tcPr>
          <w:tcW w:w="2500" w:type="pct"/>
        </w:tcPr>
        <w:p w14:paraId="310EB6AA" w14:textId="77777777" w:rsidR="00E062C2" w:rsidRPr="003D0727" w:rsidRDefault="00E062C2" w:rsidP="00E062C2">
          <w:pPr>
            <w:rPr>
              <w:rFonts w:eastAsia="Times New Roman" w:cstheme="minorHAnsi"/>
              <w:color w:val="000000"/>
            </w:rPr>
          </w:pPr>
          <w:proofErr w:type="spellStart"/>
          <w:r w:rsidRPr="003D0727">
            <w:rPr>
              <w:rFonts w:eastAsia="Calibri,Times New Roman" w:cstheme="minorHAnsi"/>
              <w:color w:val="000000" w:themeColor="text1"/>
            </w:rPr>
            <w:t>CoC</w:t>
          </w:r>
          <w:proofErr w:type="spellEnd"/>
          <w:r w:rsidRPr="003D0727">
            <w:rPr>
              <w:rFonts w:eastAsia="Calibri,Times New Roman" w:cstheme="minorHAnsi"/>
              <w:color w:val="000000" w:themeColor="text1"/>
            </w:rPr>
            <w:t xml:space="preserve"> Board Report</w:t>
          </w:r>
        </w:p>
      </w:tc>
      <w:tc>
        <w:tcPr>
          <w:tcW w:w="2500" w:type="pct"/>
        </w:tcPr>
        <w:p w14:paraId="1C825FEB" w14:textId="4FB61C5E" w:rsidR="00E062C2" w:rsidRPr="003D0727" w:rsidRDefault="00F7483E" w:rsidP="00E062C2">
          <w:pPr>
            <w:jc w:val="right"/>
            <w:rPr>
              <w:rFonts w:eastAsia="Times New Roman" w:cstheme="minorHAnsi"/>
              <w:color w:val="000000"/>
            </w:rPr>
          </w:pPr>
          <w:r w:rsidRPr="003D0727">
            <w:rPr>
              <w:rFonts w:eastAsia="Times New Roman" w:cstheme="minorHAnsi"/>
              <w:color w:val="000000"/>
            </w:rPr>
            <w:t>20</w:t>
          </w:r>
          <w:r w:rsidR="00E10F63">
            <w:rPr>
              <w:rFonts w:eastAsia="Times New Roman" w:cstheme="minorHAnsi"/>
              <w:color w:val="000000"/>
            </w:rPr>
            <w:t>1130-216</w:t>
          </w:r>
        </w:p>
      </w:tc>
    </w:tr>
  </w:tbl>
  <w:p w14:paraId="1B5B14CF" w14:textId="77777777" w:rsidR="00E062C2" w:rsidRPr="003D0727" w:rsidRDefault="00E062C2" w:rsidP="00E062C2">
    <w:pPr>
      <w:rPr>
        <w:rFonts w:eastAsia="Times New Roman" w:cstheme="minorHAnsi"/>
        <w:color w:val="000000"/>
      </w:rPr>
    </w:pPr>
  </w:p>
  <w:p w14:paraId="103A0BBD" w14:textId="4EE267B3" w:rsidR="00E062C2" w:rsidRPr="003D0727" w:rsidRDefault="00E10F63" w:rsidP="00E062C2">
    <w:pPr>
      <w:ind w:left="720"/>
      <w:jc w:val="center"/>
      <w:rPr>
        <w:rFonts w:eastAsia="Times New Roman" w:cstheme="minorHAnsi"/>
        <w:color w:val="000000"/>
        <w:sz w:val="28"/>
      </w:rPr>
    </w:pPr>
    <w:r>
      <w:rPr>
        <w:rFonts w:eastAsia="Calibri,Times New Roman" w:cstheme="minorHAnsi"/>
        <w:color w:val="000000" w:themeColor="text1"/>
        <w:sz w:val="28"/>
        <w:szCs w:val="28"/>
      </w:rPr>
      <w:t>November</w:t>
    </w:r>
    <w:r w:rsidR="004F3F7F" w:rsidRPr="003D0727">
      <w:rPr>
        <w:rFonts w:eastAsia="Calibri,Times New Roman" w:cstheme="minorHAnsi"/>
        <w:color w:val="000000" w:themeColor="text1"/>
        <w:sz w:val="28"/>
        <w:szCs w:val="28"/>
      </w:rPr>
      <w:t xml:space="preserve"> 2020</w:t>
    </w:r>
    <w:r w:rsidR="00E062C2" w:rsidRPr="003D0727">
      <w:rPr>
        <w:rFonts w:eastAsia="Calibri,Times New Roman" w:cstheme="minorHAnsi"/>
        <w:color w:val="000000" w:themeColor="text1"/>
        <w:sz w:val="28"/>
        <w:szCs w:val="28"/>
      </w:rPr>
      <w:t xml:space="preserve"> </w:t>
    </w:r>
    <w:r w:rsidR="00504BCE">
      <w:rPr>
        <w:rFonts w:eastAsia="Calibri,Times New Roman" w:cstheme="minorHAnsi"/>
        <w:color w:val="000000" w:themeColor="text1"/>
        <w:sz w:val="28"/>
        <w:szCs w:val="28"/>
      </w:rPr>
      <w:t>Improvement, Coordination &amp; Training</w:t>
    </w:r>
    <w:r w:rsidR="006A79B7" w:rsidRPr="003D0727">
      <w:rPr>
        <w:rFonts w:eastAsia="Calibri,Times New Roman" w:cstheme="minorHAnsi"/>
        <w:color w:val="000000" w:themeColor="text1"/>
        <w:sz w:val="28"/>
        <w:szCs w:val="28"/>
      </w:rPr>
      <w:t xml:space="preserve"> </w:t>
    </w:r>
    <w:r w:rsidR="00E062C2" w:rsidRPr="003D0727">
      <w:rPr>
        <w:rFonts w:eastAsia="Calibri,Times New Roman" w:cstheme="minorHAnsi"/>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C73BB9"/>
    <w:multiLevelType w:val="hybridMultilevel"/>
    <w:tmpl w:val="C828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31C3D"/>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2"/>
  </w:num>
  <w:num w:numId="4">
    <w:abstractNumId w:val="23"/>
  </w:num>
  <w:num w:numId="5">
    <w:abstractNumId w:val="5"/>
  </w:num>
  <w:num w:numId="6">
    <w:abstractNumId w:val="1"/>
  </w:num>
  <w:num w:numId="7">
    <w:abstractNumId w:val="3"/>
  </w:num>
  <w:num w:numId="8">
    <w:abstractNumId w:val="4"/>
  </w:num>
  <w:num w:numId="9">
    <w:abstractNumId w:val="7"/>
  </w:num>
  <w:num w:numId="10">
    <w:abstractNumId w:val="25"/>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10"/>
  </w:num>
  <w:num w:numId="13">
    <w:abstractNumId w:val="11"/>
  </w:num>
  <w:num w:numId="14">
    <w:abstractNumId w:val="17"/>
  </w:num>
  <w:num w:numId="15">
    <w:abstractNumId w:val="13"/>
  </w:num>
  <w:num w:numId="16">
    <w:abstractNumId w:val="20"/>
  </w:num>
  <w:num w:numId="17">
    <w:abstractNumId w:val="24"/>
  </w:num>
  <w:num w:numId="18">
    <w:abstractNumId w:val="19"/>
  </w:num>
  <w:num w:numId="19">
    <w:abstractNumId w:val="6"/>
  </w:num>
  <w:num w:numId="20">
    <w:abstractNumId w:val="9"/>
  </w:num>
  <w:num w:numId="21">
    <w:abstractNumId w:val="2"/>
  </w:num>
  <w:num w:numId="22">
    <w:abstractNumId w:val="16"/>
  </w:num>
  <w:num w:numId="23">
    <w:abstractNumId w:val="8"/>
  </w:num>
  <w:num w:numId="24">
    <w:abstractNumId w:val="2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34CC3"/>
    <w:rsid w:val="00140388"/>
    <w:rsid w:val="00142558"/>
    <w:rsid w:val="00143D71"/>
    <w:rsid w:val="00175757"/>
    <w:rsid w:val="00177532"/>
    <w:rsid w:val="00190627"/>
    <w:rsid w:val="00196031"/>
    <w:rsid w:val="001B079F"/>
    <w:rsid w:val="001C38EB"/>
    <w:rsid w:val="001D0E74"/>
    <w:rsid w:val="001E1528"/>
    <w:rsid w:val="001E5B88"/>
    <w:rsid w:val="001E683E"/>
    <w:rsid w:val="001F2AFB"/>
    <w:rsid w:val="001F7ACA"/>
    <w:rsid w:val="00210214"/>
    <w:rsid w:val="00213801"/>
    <w:rsid w:val="00230BF0"/>
    <w:rsid w:val="00232356"/>
    <w:rsid w:val="00233449"/>
    <w:rsid w:val="00235A38"/>
    <w:rsid w:val="002430FC"/>
    <w:rsid w:val="00260730"/>
    <w:rsid w:val="00267DC6"/>
    <w:rsid w:val="00270814"/>
    <w:rsid w:val="00281A57"/>
    <w:rsid w:val="00286207"/>
    <w:rsid w:val="002A06D2"/>
    <w:rsid w:val="002A0F1F"/>
    <w:rsid w:val="002A2684"/>
    <w:rsid w:val="002A3868"/>
    <w:rsid w:val="002A4C94"/>
    <w:rsid w:val="002B5076"/>
    <w:rsid w:val="002B5BA1"/>
    <w:rsid w:val="002B7FE0"/>
    <w:rsid w:val="002D09E6"/>
    <w:rsid w:val="002D3F71"/>
    <w:rsid w:val="002E26DB"/>
    <w:rsid w:val="002E4B58"/>
    <w:rsid w:val="002E4B9A"/>
    <w:rsid w:val="003126B4"/>
    <w:rsid w:val="00320D9D"/>
    <w:rsid w:val="003255AA"/>
    <w:rsid w:val="00331088"/>
    <w:rsid w:val="003431FE"/>
    <w:rsid w:val="00344070"/>
    <w:rsid w:val="00346025"/>
    <w:rsid w:val="003658E4"/>
    <w:rsid w:val="003B1D49"/>
    <w:rsid w:val="003B6CFE"/>
    <w:rsid w:val="003B75C6"/>
    <w:rsid w:val="003C1682"/>
    <w:rsid w:val="003D0727"/>
    <w:rsid w:val="003D172B"/>
    <w:rsid w:val="003D37DF"/>
    <w:rsid w:val="003E0A2C"/>
    <w:rsid w:val="00407618"/>
    <w:rsid w:val="00437B51"/>
    <w:rsid w:val="00450691"/>
    <w:rsid w:val="00473E1B"/>
    <w:rsid w:val="00484AB5"/>
    <w:rsid w:val="004A0C4D"/>
    <w:rsid w:val="004B4364"/>
    <w:rsid w:val="004B75BF"/>
    <w:rsid w:val="004C367A"/>
    <w:rsid w:val="004C635C"/>
    <w:rsid w:val="004F3F7F"/>
    <w:rsid w:val="00504BCE"/>
    <w:rsid w:val="00507850"/>
    <w:rsid w:val="00510144"/>
    <w:rsid w:val="005152BC"/>
    <w:rsid w:val="005211A8"/>
    <w:rsid w:val="005248C0"/>
    <w:rsid w:val="00527C5E"/>
    <w:rsid w:val="0053213F"/>
    <w:rsid w:val="005767B1"/>
    <w:rsid w:val="0059345C"/>
    <w:rsid w:val="005A0FA0"/>
    <w:rsid w:val="005E074B"/>
    <w:rsid w:val="005E4A10"/>
    <w:rsid w:val="005E4BE9"/>
    <w:rsid w:val="006153AD"/>
    <w:rsid w:val="006237E1"/>
    <w:rsid w:val="006306C6"/>
    <w:rsid w:val="00633981"/>
    <w:rsid w:val="006358DF"/>
    <w:rsid w:val="0064616A"/>
    <w:rsid w:val="00690A1E"/>
    <w:rsid w:val="006A2C35"/>
    <w:rsid w:val="006A79B7"/>
    <w:rsid w:val="006B62BF"/>
    <w:rsid w:val="006B79BA"/>
    <w:rsid w:val="006D4590"/>
    <w:rsid w:val="006E21BC"/>
    <w:rsid w:val="006F2F29"/>
    <w:rsid w:val="006F55BA"/>
    <w:rsid w:val="00720803"/>
    <w:rsid w:val="00742819"/>
    <w:rsid w:val="007501D5"/>
    <w:rsid w:val="00756E4D"/>
    <w:rsid w:val="00767EDB"/>
    <w:rsid w:val="00775266"/>
    <w:rsid w:val="007A07F9"/>
    <w:rsid w:val="007A5026"/>
    <w:rsid w:val="007C6015"/>
    <w:rsid w:val="007C6061"/>
    <w:rsid w:val="007C7C1F"/>
    <w:rsid w:val="007F26A0"/>
    <w:rsid w:val="008011FC"/>
    <w:rsid w:val="008113FB"/>
    <w:rsid w:val="0081398F"/>
    <w:rsid w:val="00815B8D"/>
    <w:rsid w:val="00831A2A"/>
    <w:rsid w:val="00835A9B"/>
    <w:rsid w:val="0085389A"/>
    <w:rsid w:val="008606B2"/>
    <w:rsid w:val="00862870"/>
    <w:rsid w:val="008671AC"/>
    <w:rsid w:val="00882F35"/>
    <w:rsid w:val="00894CA7"/>
    <w:rsid w:val="008B72DC"/>
    <w:rsid w:val="008D2DE8"/>
    <w:rsid w:val="008E1B4B"/>
    <w:rsid w:val="00906928"/>
    <w:rsid w:val="00913832"/>
    <w:rsid w:val="009413A0"/>
    <w:rsid w:val="0096274B"/>
    <w:rsid w:val="00966DC6"/>
    <w:rsid w:val="0099062C"/>
    <w:rsid w:val="00990CA7"/>
    <w:rsid w:val="009A1356"/>
    <w:rsid w:val="009A24CC"/>
    <w:rsid w:val="009A2528"/>
    <w:rsid w:val="009B4C29"/>
    <w:rsid w:val="009B6652"/>
    <w:rsid w:val="009C26FA"/>
    <w:rsid w:val="009D0F7E"/>
    <w:rsid w:val="009E4ABC"/>
    <w:rsid w:val="009E6601"/>
    <w:rsid w:val="009F514A"/>
    <w:rsid w:val="009F777F"/>
    <w:rsid w:val="00A06591"/>
    <w:rsid w:val="00A45BC2"/>
    <w:rsid w:val="00A63116"/>
    <w:rsid w:val="00A709F2"/>
    <w:rsid w:val="00A80757"/>
    <w:rsid w:val="00AA276C"/>
    <w:rsid w:val="00AA6F80"/>
    <w:rsid w:val="00AC70AA"/>
    <w:rsid w:val="00AD1A87"/>
    <w:rsid w:val="00B11315"/>
    <w:rsid w:val="00B34E7E"/>
    <w:rsid w:val="00B3715B"/>
    <w:rsid w:val="00B54422"/>
    <w:rsid w:val="00B609C1"/>
    <w:rsid w:val="00B60A95"/>
    <w:rsid w:val="00B825B5"/>
    <w:rsid w:val="00BA4563"/>
    <w:rsid w:val="00BA4CC1"/>
    <w:rsid w:val="00BB1B02"/>
    <w:rsid w:val="00BF1E93"/>
    <w:rsid w:val="00BF61C4"/>
    <w:rsid w:val="00C04C59"/>
    <w:rsid w:val="00C115E8"/>
    <w:rsid w:val="00C120E4"/>
    <w:rsid w:val="00C13915"/>
    <w:rsid w:val="00C14854"/>
    <w:rsid w:val="00C14B37"/>
    <w:rsid w:val="00C22596"/>
    <w:rsid w:val="00C243F5"/>
    <w:rsid w:val="00C27499"/>
    <w:rsid w:val="00C315B1"/>
    <w:rsid w:val="00C52FE9"/>
    <w:rsid w:val="00C604D1"/>
    <w:rsid w:val="00C622F5"/>
    <w:rsid w:val="00C65A12"/>
    <w:rsid w:val="00CB7801"/>
    <w:rsid w:val="00CC61E8"/>
    <w:rsid w:val="00CD0133"/>
    <w:rsid w:val="00CD1A53"/>
    <w:rsid w:val="00CE35DB"/>
    <w:rsid w:val="00CE4B0D"/>
    <w:rsid w:val="00CF4225"/>
    <w:rsid w:val="00D22E7E"/>
    <w:rsid w:val="00D431F0"/>
    <w:rsid w:val="00D73F03"/>
    <w:rsid w:val="00D748D4"/>
    <w:rsid w:val="00D74C70"/>
    <w:rsid w:val="00D8544B"/>
    <w:rsid w:val="00D914F6"/>
    <w:rsid w:val="00DA2110"/>
    <w:rsid w:val="00DC3E42"/>
    <w:rsid w:val="00DC672D"/>
    <w:rsid w:val="00DD546F"/>
    <w:rsid w:val="00DE255E"/>
    <w:rsid w:val="00DF0DCC"/>
    <w:rsid w:val="00E062C2"/>
    <w:rsid w:val="00E10F63"/>
    <w:rsid w:val="00E1444F"/>
    <w:rsid w:val="00E22039"/>
    <w:rsid w:val="00E22484"/>
    <w:rsid w:val="00E34C6C"/>
    <w:rsid w:val="00E4008E"/>
    <w:rsid w:val="00E53948"/>
    <w:rsid w:val="00E60C82"/>
    <w:rsid w:val="00E63877"/>
    <w:rsid w:val="00E70FCD"/>
    <w:rsid w:val="00E83074"/>
    <w:rsid w:val="00E953E3"/>
    <w:rsid w:val="00E956A1"/>
    <w:rsid w:val="00EB733F"/>
    <w:rsid w:val="00EC18FB"/>
    <w:rsid w:val="00EF69E1"/>
    <w:rsid w:val="00F177BA"/>
    <w:rsid w:val="00F4158B"/>
    <w:rsid w:val="00F63721"/>
    <w:rsid w:val="00F7162E"/>
    <w:rsid w:val="00F7483E"/>
    <w:rsid w:val="00F83DCE"/>
    <w:rsid w:val="00F90784"/>
    <w:rsid w:val="00F9444D"/>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F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F9AE2-4AF7-46F7-B192-8A8A484EB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1437</Characters>
  <Application>Microsoft Office Word</Application>
  <DocSecurity>0</DocSecurity>
  <Lines>26</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Schedule  </vt:lpstr>
      <vt:lpstr>    </vt:lpstr>
      <vt:lpstr>    Report</vt:lpstr>
      <vt:lpstr>    Key Takeaways</vt:lpstr>
      <vt:lpstr>    Recommendations to CoC Board</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2</cp:revision>
  <cp:lastPrinted>2017-05-07T18:06:00Z</cp:lastPrinted>
  <dcterms:created xsi:type="dcterms:W3CDTF">2020-11-25T19:46:00Z</dcterms:created>
  <dcterms:modified xsi:type="dcterms:W3CDTF">2020-11-25T19:46:00Z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