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0C5D1CEE" w:rsidR="000C1632" w:rsidRPr="00AF624E" w:rsidRDefault="007D3AB9" w:rsidP="000C1632">
      <w:r>
        <w:t>Quarterly First Tuesday at 10:00 AM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5CF4E616" w:rsidR="000C1632" w:rsidRDefault="00B87064" w:rsidP="00CA04B8">
            <w:r>
              <w:t>March 15, 2021</w:t>
            </w:r>
          </w:p>
          <w:p w14:paraId="22F3D473" w14:textId="7F771AAE" w:rsidR="004F3F7F" w:rsidRPr="00AF624E" w:rsidRDefault="004F3F7F" w:rsidP="00CA04B8">
            <w:r>
              <w:t>Virtual</w:t>
            </w:r>
          </w:p>
        </w:tc>
        <w:tc>
          <w:tcPr>
            <w:tcW w:w="3117" w:type="dxa"/>
          </w:tcPr>
          <w:p w14:paraId="33C6B112" w14:textId="3F311717" w:rsidR="000C1632" w:rsidRDefault="00B87064" w:rsidP="00CA04B8">
            <w:r>
              <w:t>April 19, 2021</w:t>
            </w:r>
          </w:p>
          <w:p w14:paraId="09BE9B42" w14:textId="0A8EF020" w:rsidR="004F3F7F" w:rsidRPr="00AF624E" w:rsidRDefault="004F3F7F" w:rsidP="00CA04B8">
            <w:r>
              <w:t>Virtual</w:t>
            </w:r>
          </w:p>
        </w:tc>
      </w:tr>
    </w:tbl>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7E356CA2" w14:textId="6E1BDE89" w:rsidR="00690B16" w:rsidRDefault="00B87064" w:rsidP="009B6652">
      <w:pPr>
        <w:rPr>
          <w:sz w:val="24"/>
          <w:szCs w:val="24"/>
        </w:rPr>
      </w:pPr>
      <w:bookmarkStart w:id="0" w:name="_Hlk525539907"/>
      <w:r>
        <w:rPr>
          <w:sz w:val="24"/>
          <w:szCs w:val="24"/>
        </w:rPr>
        <w:t xml:space="preserve">The ICT Committee met in February and March. The Committee has been repopulated, with each </w:t>
      </w:r>
      <w:proofErr w:type="spellStart"/>
      <w:r>
        <w:rPr>
          <w:sz w:val="24"/>
          <w:szCs w:val="24"/>
        </w:rPr>
        <w:t>CoC</w:t>
      </w:r>
      <w:proofErr w:type="spellEnd"/>
      <w:r>
        <w:rPr>
          <w:sz w:val="24"/>
          <w:szCs w:val="24"/>
        </w:rPr>
        <w:t xml:space="preserve"> member organization designating one voting member for their agency. Others are welcome to join the meeting, but only designated members can vote on policy change presented to the board. A roster is attached to this report.</w:t>
      </w:r>
    </w:p>
    <w:p w14:paraId="5572F985" w14:textId="36DB3570" w:rsidR="00B67913" w:rsidRDefault="00B67913" w:rsidP="009B6652">
      <w:pPr>
        <w:rPr>
          <w:sz w:val="24"/>
          <w:szCs w:val="24"/>
        </w:rPr>
      </w:pPr>
    </w:p>
    <w:p w14:paraId="0C7CC58F" w14:textId="1A181C25" w:rsidR="002D3D9E" w:rsidRDefault="00B87064" w:rsidP="00BB4EBF">
      <w:pPr>
        <w:pStyle w:val="NormalWeb"/>
        <w:contextualSpacing/>
        <w:rPr>
          <w:rFonts w:asciiTheme="minorHAnsi" w:hAnsiTheme="minorHAnsi" w:cstheme="minorHAnsi"/>
          <w:color w:val="000000"/>
          <w:sz w:val="22"/>
          <w:szCs w:val="22"/>
        </w:rPr>
      </w:pPr>
      <w:r>
        <w:rPr>
          <w:rFonts w:asciiTheme="minorHAnsi" w:hAnsiTheme="minorHAnsi" w:cstheme="minorHAnsi"/>
          <w:color w:val="000000"/>
          <w:sz w:val="22"/>
          <w:szCs w:val="22"/>
        </w:rPr>
        <w:t>February discussion:</w:t>
      </w:r>
    </w:p>
    <w:p w14:paraId="440CD59B" w14:textId="610F1315" w:rsidR="00B87064" w:rsidRDefault="00B87064" w:rsidP="00BB4EBF">
      <w:pPr>
        <w:pStyle w:val="NormalWeb"/>
        <w:numPr>
          <w:ilvl w:val="0"/>
          <w:numId w:val="29"/>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Update from the Bridge Housing Workgroup; discussed challenges in prioritizing various populations for housing and what the workgroup was thinking.</w:t>
      </w:r>
    </w:p>
    <w:p w14:paraId="1A5BE4D2" w14:textId="585F9B4B" w:rsidR="00B87064" w:rsidRDefault="00B87064" w:rsidP="00BB4EBF">
      <w:pPr>
        <w:pStyle w:val="NormalWeb"/>
        <w:numPr>
          <w:ilvl w:val="0"/>
          <w:numId w:val="29"/>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Examined slowdowns in Coordinated Entry process; although the general thought was that critical documents were the biggest slow down, based on a housing match study it was lack of communication between staff working together to get people housed or incorrect data in the matching system. This information gives the Homeless Coalition information to work with partners on to improve housing process.</w:t>
      </w:r>
    </w:p>
    <w:p w14:paraId="66D57345" w14:textId="2A6AEF9C" w:rsidR="00B87064" w:rsidRDefault="00B87064" w:rsidP="00BB4EBF">
      <w:pPr>
        <w:pStyle w:val="NormalWeb"/>
        <w:numPr>
          <w:ilvl w:val="0"/>
          <w:numId w:val="29"/>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Homeless Coalition was awarded $500,000 in landlord incentive money from TDHCA to be used to pay landlords a bonus for housing people exiting homelessness.</w:t>
      </w:r>
      <w:r w:rsidR="00DC738A">
        <w:rPr>
          <w:rFonts w:asciiTheme="minorHAnsi" w:hAnsiTheme="minorHAnsi" w:cstheme="minorHAnsi"/>
          <w:color w:val="000000"/>
          <w:sz w:val="22"/>
          <w:szCs w:val="22"/>
        </w:rPr>
        <w:t xml:space="preserve"> All organizations</w:t>
      </w:r>
    </w:p>
    <w:p w14:paraId="01FAD8A3" w14:textId="05DCB0B0" w:rsidR="00B87064" w:rsidRDefault="00B87064" w:rsidP="00BB4EBF">
      <w:pPr>
        <w:pStyle w:val="NormalWeb"/>
        <w:numPr>
          <w:ilvl w:val="0"/>
          <w:numId w:val="29"/>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Other: reviewed dashboard, discussed progress on community dashboards and starting disaster response planning.</w:t>
      </w:r>
    </w:p>
    <w:p w14:paraId="7E730AE7" w14:textId="283AB2EB" w:rsidR="00B87064" w:rsidRDefault="00B87064" w:rsidP="00B87064">
      <w:pPr>
        <w:pStyle w:val="NormalWeb"/>
        <w:contextualSpacing/>
        <w:rPr>
          <w:rFonts w:asciiTheme="minorHAnsi" w:hAnsiTheme="minorHAnsi" w:cstheme="minorHAnsi"/>
          <w:color w:val="000000"/>
          <w:sz w:val="22"/>
          <w:szCs w:val="22"/>
        </w:rPr>
      </w:pPr>
    </w:p>
    <w:p w14:paraId="6EEEB92F" w14:textId="35058A84" w:rsidR="00B87064" w:rsidRDefault="00B87064" w:rsidP="00B87064">
      <w:pPr>
        <w:pStyle w:val="NormalWeb"/>
        <w:contextualSpacing/>
        <w:rPr>
          <w:rFonts w:asciiTheme="minorHAnsi" w:hAnsiTheme="minorHAnsi" w:cstheme="minorHAnsi"/>
          <w:color w:val="000000"/>
          <w:sz w:val="22"/>
          <w:szCs w:val="22"/>
        </w:rPr>
      </w:pPr>
      <w:r>
        <w:rPr>
          <w:rFonts w:asciiTheme="minorHAnsi" w:hAnsiTheme="minorHAnsi" w:cstheme="minorHAnsi"/>
          <w:color w:val="000000"/>
          <w:sz w:val="22"/>
          <w:szCs w:val="22"/>
        </w:rPr>
        <w:t>March discussion:</w:t>
      </w:r>
    </w:p>
    <w:p w14:paraId="309FADD7" w14:textId="4125C87E" w:rsidR="00B87064" w:rsidRDefault="00DC738A" w:rsidP="00DC738A">
      <w:pPr>
        <w:pStyle w:val="NormalWeb"/>
        <w:numPr>
          <w:ilvl w:val="0"/>
          <w:numId w:val="30"/>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Celebrated that time to be housed through Coordinated Entry has decreased from 53 days to 32 days- a reduction of 3 </w:t>
      </w:r>
      <w:proofErr w:type="spellStart"/>
      <w:r>
        <w:rPr>
          <w:rFonts w:asciiTheme="minorHAnsi" w:hAnsiTheme="minorHAnsi" w:cstheme="minorHAnsi"/>
          <w:color w:val="000000"/>
          <w:sz w:val="22"/>
          <w:szCs w:val="22"/>
        </w:rPr>
        <w:t>weeks time</w:t>
      </w:r>
      <w:proofErr w:type="spellEnd"/>
      <w:r>
        <w:rPr>
          <w:rFonts w:asciiTheme="minorHAnsi" w:hAnsiTheme="minorHAnsi" w:cstheme="minorHAnsi"/>
          <w:color w:val="000000"/>
          <w:sz w:val="22"/>
          <w:szCs w:val="22"/>
        </w:rPr>
        <w:t>!</w:t>
      </w:r>
    </w:p>
    <w:p w14:paraId="61894F9B" w14:textId="7D589F80" w:rsidR="00DC738A" w:rsidRDefault="00DC738A" w:rsidP="00DC738A">
      <w:pPr>
        <w:pStyle w:val="NormalWeb"/>
        <w:numPr>
          <w:ilvl w:val="0"/>
          <w:numId w:val="30"/>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Committee approved </w:t>
      </w:r>
      <w:r w:rsidR="003C38B0">
        <w:rPr>
          <w:rFonts w:asciiTheme="minorHAnsi" w:hAnsiTheme="minorHAnsi" w:cstheme="minorHAnsi"/>
          <w:color w:val="000000"/>
          <w:sz w:val="22"/>
          <w:szCs w:val="22"/>
        </w:rPr>
        <w:t>Bridge Housing policy</w:t>
      </w:r>
    </w:p>
    <w:p w14:paraId="4BEBD9BA" w14:textId="623A3561" w:rsidR="003C38B0" w:rsidRDefault="003C38B0" w:rsidP="003C38B0">
      <w:pPr>
        <w:pStyle w:val="NormalWeb"/>
        <w:numPr>
          <w:ilvl w:val="1"/>
          <w:numId w:val="30"/>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People who are in shelters and on the street will be prioritized for Project Based Vouchers</w:t>
      </w:r>
    </w:p>
    <w:p w14:paraId="6E1EC664" w14:textId="51B9EAD9" w:rsidR="003C38B0" w:rsidRDefault="003C38B0" w:rsidP="003C38B0">
      <w:pPr>
        <w:pStyle w:val="NormalWeb"/>
        <w:numPr>
          <w:ilvl w:val="1"/>
          <w:numId w:val="30"/>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People who are in Rapid Rehousing and need to bridge to PSH will be prioritized for Tenant Based Vouchers</w:t>
      </w:r>
    </w:p>
    <w:p w14:paraId="64735535" w14:textId="46D6E483" w:rsidR="003C38B0" w:rsidRDefault="003C38B0" w:rsidP="003C38B0">
      <w:pPr>
        <w:pStyle w:val="NormalWeb"/>
        <w:numPr>
          <w:ilvl w:val="1"/>
          <w:numId w:val="30"/>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Policy also addresses who should be considered for bridge </w:t>
      </w:r>
      <w:proofErr w:type="gramStart"/>
      <w:r>
        <w:rPr>
          <w:rFonts w:asciiTheme="minorHAnsi" w:hAnsiTheme="minorHAnsi" w:cstheme="minorHAnsi"/>
          <w:color w:val="000000"/>
          <w:sz w:val="22"/>
          <w:szCs w:val="22"/>
        </w:rPr>
        <w:t>housing</w:t>
      </w:r>
      <w:proofErr w:type="gramEnd"/>
    </w:p>
    <w:p w14:paraId="3D095A25" w14:textId="53319D45" w:rsidR="003C38B0" w:rsidRDefault="003C38B0" w:rsidP="003C38B0">
      <w:pPr>
        <w:pStyle w:val="NormalWeb"/>
        <w:numPr>
          <w:ilvl w:val="0"/>
          <w:numId w:val="30"/>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Two workgroups are being formed to address system </w:t>
      </w:r>
      <w:proofErr w:type="gramStart"/>
      <w:r>
        <w:rPr>
          <w:rFonts w:asciiTheme="minorHAnsi" w:hAnsiTheme="minorHAnsi" w:cstheme="minorHAnsi"/>
          <w:color w:val="000000"/>
          <w:sz w:val="22"/>
          <w:szCs w:val="22"/>
        </w:rPr>
        <w:t>issues</w:t>
      </w:r>
      <w:proofErr w:type="gramEnd"/>
    </w:p>
    <w:p w14:paraId="3913596B" w14:textId="459E1077" w:rsidR="003C38B0" w:rsidRDefault="003C38B0" w:rsidP="003C38B0">
      <w:pPr>
        <w:pStyle w:val="NormalWeb"/>
        <w:numPr>
          <w:ilvl w:val="1"/>
          <w:numId w:val="30"/>
        </w:numPr>
        <w:contextualSpacing/>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ViSPDAT</w:t>
      </w:r>
      <w:proofErr w:type="spellEnd"/>
      <w:r>
        <w:rPr>
          <w:rFonts w:asciiTheme="minorHAnsi" w:hAnsiTheme="minorHAnsi" w:cstheme="minorHAnsi"/>
          <w:color w:val="000000"/>
          <w:sz w:val="22"/>
          <w:szCs w:val="22"/>
        </w:rPr>
        <w:t xml:space="preserve"> workgroup: to address possibility of using another assessment </w:t>
      </w:r>
      <w:proofErr w:type="gramStart"/>
      <w:r>
        <w:rPr>
          <w:rFonts w:asciiTheme="minorHAnsi" w:hAnsiTheme="minorHAnsi" w:cstheme="minorHAnsi"/>
          <w:color w:val="000000"/>
          <w:sz w:val="22"/>
          <w:szCs w:val="22"/>
        </w:rPr>
        <w:t>tool</w:t>
      </w:r>
      <w:proofErr w:type="gramEnd"/>
    </w:p>
    <w:p w14:paraId="5BEA8F07" w14:textId="520211FC" w:rsidR="003C38B0" w:rsidRDefault="003C38B0" w:rsidP="003C38B0">
      <w:pPr>
        <w:pStyle w:val="NormalWeb"/>
        <w:numPr>
          <w:ilvl w:val="1"/>
          <w:numId w:val="30"/>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PSH Income workgroup: to address clients who continually do not pay their portion of rent but need housing and supportive services- how to best serve these </w:t>
      </w:r>
      <w:proofErr w:type="gramStart"/>
      <w:r>
        <w:rPr>
          <w:rFonts w:asciiTheme="minorHAnsi" w:hAnsiTheme="minorHAnsi" w:cstheme="minorHAnsi"/>
          <w:color w:val="000000"/>
          <w:sz w:val="22"/>
          <w:szCs w:val="22"/>
        </w:rPr>
        <w:t>clients</w:t>
      </w:r>
      <w:proofErr w:type="gramEnd"/>
    </w:p>
    <w:p w14:paraId="3478E4C3" w14:textId="77777777" w:rsidR="003C38B0" w:rsidRPr="00B87064" w:rsidRDefault="003C38B0" w:rsidP="003C38B0">
      <w:pPr>
        <w:pStyle w:val="NormalWeb"/>
        <w:ind w:left="720"/>
        <w:contextualSpacing/>
        <w:rPr>
          <w:rFonts w:asciiTheme="minorHAnsi" w:hAnsiTheme="minorHAnsi" w:cstheme="minorHAnsi"/>
          <w:color w:val="000000"/>
          <w:sz w:val="22"/>
          <w:szCs w:val="22"/>
        </w:rPr>
      </w:pPr>
    </w:p>
    <w:bookmarkEnd w:id="0"/>
    <w:p w14:paraId="399FD118" w14:textId="44FF4962" w:rsidR="009B6652" w:rsidRDefault="009B6652" w:rsidP="009B6652">
      <w:pPr>
        <w:pStyle w:val="Heading2"/>
      </w:pPr>
      <w:r>
        <w:t>Key Takeaways</w:t>
      </w:r>
    </w:p>
    <w:p w14:paraId="247DE80E" w14:textId="77777777" w:rsidR="0037781E" w:rsidRDefault="0037781E" w:rsidP="0037781E">
      <w:pPr>
        <w:rPr>
          <w:sz w:val="24"/>
          <w:szCs w:val="24"/>
        </w:rPr>
      </w:pPr>
    </w:p>
    <w:p w14:paraId="42A1B67A" w14:textId="2A7B2617" w:rsidR="0068276C" w:rsidRDefault="003C38B0" w:rsidP="0037781E">
      <w:pPr>
        <w:rPr>
          <w:sz w:val="24"/>
          <w:szCs w:val="24"/>
        </w:rPr>
      </w:pPr>
      <w:r>
        <w:rPr>
          <w:sz w:val="24"/>
          <w:szCs w:val="24"/>
        </w:rPr>
        <w:t xml:space="preserve">Bridge Housing Workgroup determined best policy for </w:t>
      </w:r>
      <w:proofErr w:type="spellStart"/>
      <w:r>
        <w:rPr>
          <w:sz w:val="24"/>
          <w:szCs w:val="24"/>
        </w:rPr>
        <w:t>CoC</w:t>
      </w:r>
      <w:proofErr w:type="spellEnd"/>
      <w:r>
        <w:rPr>
          <w:sz w:val="24"/>
          <w:szCs w:val="24"/>
        </w:rPr>
        <w:t xml:space="preserve"> and is moving forward for formal </w:t>
      </w:r>
      <w:proofErr w:type="spellStart"/>
      <w:r>
        <w:rPr>
          <w:sz w:val="24"/>
          <w:szCs w:val="24"/>
        </w:rPr>
        <w:t>CoC</w:t>
      </w:r>
      <w:proofErr w:type="spellEnd"/>
      <w:r>
        <w:rPr>
          <w:sz w:val="24"/>
          <w:szCs w:val="24"/>
        </w:rPr>
        <w:t xml:space="preserve"> Board approval.</w:t>
      </w:r>
    </w:p>
    <w:p w14:paraId="51710A62" w14:textId="78A83D1F" w:rsidR="003C38B0" w:rsidRDefault="003C38B0" w:rsidP="0037781E">
      <w:pPr>
        <w:rPr>
          <w:sz w:val="24"/>
          <w:szCs w:val="24"/>
        </w:rPr>
      </w:pPr>
    </w:p>
    <w:p w14:paraId="693DC133" w14:textId="30BCA8D7" w:rsidR="003C38B0" w:rsidRDefault="003C38B0" w:rsidP="0037781E">
      <w:pPr>
        <w:rPr>
          <w:sz w:val="24"/>
          <w:szCs w:val="24"/>
        </w:rPr>
      </w:pPr>
      <w:r>
        <w:rPr>
          <w:sz w:val="24"/>
          <w:szCs w:val="24"/>
        </w:rPr>
        <w:lastRenderedPageBreak/>
        <w:t xml:space="preserve">Committee was excited about looking at other tools to determine vulnerability and housing prioritization, as many issues with the </w:t>
      </w:r>
      <w:proofErr w:type="spellStart"/>
      <w:r>
        <w:rPr>
          <w:sz w:val="24"/>
          <w:szCs w:val="24"/>
        </w:rPr>
        <w:t>ViSPDAT</w:t>
      </w:r>
      <w:proofErr w:type="spellEnd"/>
      <w:r>
        <w:rPr>
          <w:sz w:val="24"/>
          <w:szCs w:val="24"/>
        </w:rPr>
        <w:t xml:space="preserve"> have been noted across the country.</w:t>
      </w:r>
    </w:p>
    <w:p w14:paraId="562A9262" w14:textId="77777777" w:rsidR="00E63877" w:rsidRPr="00117D48" w:rsidRDefault="00E63877" w:rsidP="002A2684">
      <w:pPr>
        <w:rPr>
          <w:bCs/>
        </w:rPr>
      </w:pPr>
    </w:p>
    <w:p w14:paraId="2E0C826E" w14:textId="7814D29E" w:rsidR="002A2684" w:rsidRDefault="002A2684" w:rsidP="002A2684">
      <w:pPr>
        <w:pStyle w:val="Heading2"/>
      </w:pPr>
      <w:r>
        <w:t xml:space="preserve">Recommendations to </w:t>
      </w:r>
      <w:proofErr w:type="spellStart"/>
      <w:r>
        <w:t>CoC</w:t>
      </w:r>
      <w:proofErr w:type="spellEnd"/>
      <w:r>
        <w:t xml:space="preserve"> Board</w:t>
      </w:r>
    </w:p>
    <w:p w14:paraId="295E4C16" w14:textId="37BD30A5" w:rsidR="001225FD" w:rsidRPr="006108E0" w:rsidRDefault="003C38B0" w:rsidP="00AF6E6C">
      <w:pPr>
        <w:rPr>
          <w:sz w:val="24"/>
          <w:szCs w:val="24"/>
        </w:rPr>
      </w:pPr>
      <w:r>
        <w:rPr>
          <w:sz w:val="24"/>
          <w:szCs w:val="24"/>
        </w:rPr>
        <w:t xml:space="preserve">Committee recommends approval of the </w:t>
      </w:r>
      <w:proofErr w:type="spellStart"/>
      <w:r>
        <w:rPr>
          <w:sz w:val="24"/>
          <w:szCs w:val="24"/>
        </w:rPr>
        <w:t>CoC</w:t>
      </w:r>
      <w:proofErr w:type="spellEnd"/>
      <w:r>
        <w:rPr>
          <w:sz w:val="24"/>
          <w:szCs w:val="24"/>
        </w:rPr>
        <w:t xml:space="preserve"> Bridge Housing Policy </w:t>
      </w:r>
    </w:p>
    <w:p w14:paraId="55AFBFB8" w14:textId="67344EC4" w:rsidR="001225FD" w:rsidRDefault="001225FD" w:rsidP="00AF6E6C"/>
    <w:p w14:paraId="5CBEB182" w14:textId="1AACAF2E" w:rsidR="007D3AB9" w:rsidRDefault="007D3AB9" w:rsidP="00AF6E6C"/>
    <w:p w14:paraId="6DC94137" w14:textId="5CD7BC16" w:rsidR="007D3AB9" w:rsidRDefault="007D3AB9" w:rsidP="00AF6E6C"/>
    <w:p w14:paraId="6153ED57" w14:textId="6BC51FCF" w:rsidR="007D3AB9" w:rsidRDefault="007D3AB9" w:rsidP="00AF6E6C"/>
    <w:sectPr w:rsidR="007D3AB9"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DC4D4" w14:textId="77777777" w:rsidR="00B84E79" w:rsidRDefault="00B84E79" w:rsidP="0053213F">
      <w:r>
        <w:separator/>
      </w:r>
    </w:p>
  </w:endnote>
  <w:endnote w:type="continuationSeparator" w:id="0">
    <w:p w14:paraId="1FFD1DF9" w14:textId="77777777" w:rsidR="00B84E79" w:rsidRDefault="00B84E79"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B84E79"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02C9" w14:textId="77777777" w:rsidR="00B84E79" w:rsidRDefault="00B84E79" w:rsidP="0053213F">
      <w:r>
        <w:separator/>
      </w:r>
    </w:p>
  </w:footnote>
  <w:footnote w:type="continuationSeparator" w:id="0">
    <w:p w14:paraId="009B96D5" w14:textId="77777777" w:rsidR="00B84E79" w:rsidRDefault="00B84E79"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Report</w:t>
          </w:r>
        </w:p>
      </w:tc>
      <w:tc>
        <w:tcPr>
          <w:tcW w:w="2500" w:type="pct"/>
        </w:tcPr>
        <w:p w14:paraId="1C825FEB" w14:textId="5F443516" w:rsidR="00E062C2" w:rsidRPr="003D0727" w:rsidRDefault="00881A0E" w:rsidP="00E062C2">
          <w:pPr>
            <w:jc w:val="right"/>
            <w:rPr>
              <w:rFonts w:eastAsia="Times New Roman" w:cstheme="minorHAnsi"/>
              <w:color w:val="000000"/>
            </w:rPr>
          </w:pPr>
          <w:r>
            <w:rPr>
              <w:rFonts w:eastAsia="Times New Roman" w:cstheme="minorHAnsi"/>
              <w:color w:val="000000"/>
            </w:rPr>
            <w:t>2</w:t>
          </w:r>
          <w:r w:rsidR="00CA74CC">
            <w:rPr>
              <w:rFonts w:eastAsia="Times New Roman" w:cstheme="minorHAnsi"/>
              <w:color w:val="000000"/>
            </w:rPr>
            <w:t>10</w:t>
          </w:r>
          <w:r w:rsidR="00B87064">
            <w:rPr>
              <w:rFonts w:eastAsia="Times New Roman" w:cstheme="minorHAnsi"/>
              <w:color w:val="000000"/>
            </w:rPr>
            <w:t>322-2</w:t>
          </w:r>
          <w:r w:rsidR="003C38B0">
            <w:rPr>
              <w:rFonts w:eastAsia="Times New Roman" w:cstheme="minorHAnsi"/>
              <w:color w:val="000000"/>
            </w:rPr>
            <w:t>31</w:t>
          </w:r>
        </w:p>
      </w:tc>
    </w:tr>
  </w:tbl>
  <w:p w14:paraId="1B5B14CF" w14:textId="77777777" w:rsidR="00E062C2" w:rsidRPr="003D0727" w:rsidRDefault="00E062C2" w:rsidP="00E062C2">
    <w:pPr>
      <w:rPr>
        <w:rFonts w:eastAsia="Times New Roman" w:cstheme="minorHAnsi"/>
        <w:color w:val="000000"/>
      </w:rPr>
    </w:pPr>
  </w:p>
  <w:p w14:paraId="103A0BBD" w14:textId="0D1791F9" w:rsidR="00E062C2" w:rsidRPr="003D0727" w:rsidRDefault="002D3D9E" w:rsidP="00E062C2">
    <w:pPr>
      <w:ind w:left="720"/>
      <w:jc w:val="center"/>
      <w:rPr>
        <w:rFonts w:eastAsia="Times New Roman" w:cstheme="minorHAnsi"/>
        <w:color w:val="000000"/>
        <w:sz w:val="28"/>
      </w:rPr>
    </w:pPr>
    <w:r>
      <w:rPr>
        <w:rFonts w:eastAsia="Calibri,Times New Roman" w:cstheme="minorHAnsi"/>
        <w:color w:val="000000" w:themeColor="text1"/>
        <w:sz w:val="28"/>
        <w:szCs w:val="28"/>
      </w:rPr>
      <w:t>March</w:t>
    </w:r>
    <w:r w:rsidR="007D3AB9">
      <w:rPr>
        <w:rFonts w:eastAsia="Calibri,Times New Roman" w:cstheme="minorHAnsi"/>
        <w:color w:val="000000" w:themeColor="text1"/>
        <w:sz w:val="28"/>
        <w:szCs w:val="28"/>
      </w:rPr>
      <w:t xml:space="preserve"> 2021</w:t>
    </w:r>
    <w:r w:rsidR="00E062C2" w:rsidRPr="003D0727">
      <w:rPr>
        <w:rFonts w:eastAsia="Calibri,Times New Roman" w:cstheme="minorHAnsi"/>
        <w:color w:val="000000" w:themeColor="text1"/>
        <w:sz w:val="28"/>
        <w:szCs w:val="28"/>
      </w:rPr>
      <w:t xml:space="preserve"> </w:t>
    </w:r>
    <w:r w:rsidR="003C38B0">
      <w:rPr>
        <w:rFonts w:eastAsia="Calibri,Times New Roman" w:cstheme="minorHAnsi"/>
        <w:color w:val="000000" w:themeColor="text1"/>
        <w:sz w:val="28"/>
        <w:szCs w:val="28"/>
      </w:rPr>
      <w:t>ICT</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E17B78"/>
    <w:multiLevelType w:val="hybridMultilevel"/>
    <w:tmpl w:val="D86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802C9"/>
    <w:multiLevelType w:val="hybridMultilevel"/>
    <w:tmpl w:val="0B1C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C2F7D"/>
    <w:multiLevelType w:val="hybridMultilevel"/>
    <w:tmpl w:val="06F08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E5B84"/>
    <w:multiLevelType w:val="hybridMultilevel"/>
    <w:tmpl w:val="F5DE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27"/>
  </w:num>
  <w:num w:numId="5">
    <w:abstractNumId w:val="7"/>
  </w:num>
  <w:num w:numId="6">
    <w:abstractNumId w:val="1"/>
  </w:num>
  <w:num w:numId="7">
    <w:abstractNumId w:val="4"/>
  </w:num>
  <w:num w:numId="8">
    <w:abstractNumId w:val="6"/>
  </w:num>
  <w:num w:numId="9">
    <w:abstractNumId w:val="9"/>
  </w:num>
  <w:num w:numId="10">
    <w:abstractNumId w:val="29"/>
    <w:lvlOverride w:ilvl="0"/>
    <w:lvlOverride w:ilvl="1">
      <w:startOverride w:val="1"/>
    </w:lvlOverride>
    <w:lvlOverride w:ilvl="2"/>
    <w:lvlOverride w:ilvl="3"/>
    <w:lvlOverride w:ilvl="4"/>
    <w:lvlOverride w:ilvl="5"/>
    <w:lvlOverride w:ilvl="6"/>
    <w:lvlOverride w:ilvl="7"/>
    <w:lvlOverride w:ilvl="8"/>
  </w:num>
  <w:num w:numId="11">
    <w:abstractNumId w:val="16"/>
  </w:num>
  <w:num w:numId="12">
    <w:abstractNumId w:val="12"/>
  </w:num>
  <w:num w:numId="13">
    <w:abstractNumId w:val="13"/>
  </w:num>
  <w:num w:numId="14">
    <w:abstractNumId w:val="19"/>
  </w:num>
  <w:num w:numId="15">
    <w:abstractNumId w:val="15"/>
  </w:num>
  <w:num w:numId="16">
    <w:abstractNumId w:val="24"/>
  </w:num>
  <w:num w:numId="17">
    <w:abstractNumId w:val="28"/>
  </w:num>
  <w:num w:numId="18">
    <w:abstractNumId w:val="23"/>
  </w:num>
  <w:num w:numId="19">
    <w:abstractNumId w:val="8"/>
  </w:num>
  <w:num w:numId="20">
    <w:abstractNumId w:val="11"/>
  </w:num>
  <w:num w:numId="21">
    <w:abstractNumId w:val="2"/>
  </w:num>
  <w:num w:numId="22">
    <w:abstractNumId w:val="18"/>
  </w:num>
  <w:num w:numId="23">
    <w:abstractNumId w:val="10"/>
  </w:num>
  <w:num w:numId="24">
    <w:abstractNumId w:val="2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21"/>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225FD"/>
    <w:rsid w:val="00134CC3"/>
    <w:rsid w:val="00140388"/>
    <w:rsid w:val="00142558"/>
    <w:rsid w:val="00143D71"/>
    <w:rsid w:val="00175757"/>
    <w:rsid w:val="00177532"/>
    <w:rsid w:val="00190627"/>
    <w:rsid w:val="00196031"/>
    <w:rsid w:val="001B079F"/>
    <w:rsid w:val="001B09C2"/>
    <w:rsid w:val="001C38EB"/>
    <w:rsid w:val="001D0E74"/>
    <w:rsid w:val="001E1528"/>
    <w:rsid w:val="001E5B88"/>
    <w:rsid w:val="001E683E"/>
    <w:rsid w:val="001F2AFB"/>
    <w:rsid w:val="001F5585"/>
    <w:rsid w:val="001F7ACA"/>
    <w:rsid w:val="00210214"/>
    <w:rsid w:val="00213801"/>
    <w:rsid w:val="00214293"/>
    <w:rsid w:val="00230BF0"/>
    <w:rsid w:val="00232356"/>
    <w:rsid w:val="00233449"/>
    <w:rsid w:val="00235A38"/>
    <w:rsid w:val="002430FC"/>
    <w:rsid w:val="00260730"/>
    <w:rsid w:val="00267DC6"/>
    <w:rsid w:val="00270814"/>
    <w:rsid w:val="00281A57"/>
    <w:rsid w:val="00286207"/>
    <w:rsid w:val="002A06D2"/>
    <w:rsid w:val="002A0F1F"/>
    <w:rsid w:val="002A2684"/>
    <w:rsid w:val="002A3868"/>
    <w:rsid w:val="002A4C94"/>
    <w:rsid w:val="002B5076"/>
    <w:rsid w:val="002B5BA1"/>
    <w:rsid w:val="002B7FE0"/>
    <w:rsid w:val="002D09E6"/>
    <w:rsid w:val="002D3D9E"/>
    <w:rsid w:val="002D3F71"/>
    <w:rsid w:val="002E26DB"/>
    <w:rsid w:val="002E4B58"/>
    <w:rsid w:val="002E4B9A"/>
    <w:rsid w:val="002F26D6"/>
    <w:rsid w:val="003126B4"/>
    <w:rsid w:val="003255AA"/>
    <w:rsid w:val="00331088"/>
    <w:rsid w:val="00332B0C"/>
    <w:rsid w:val="003431FE"/>
    <w:rsid w:val="00344070"/>
    <w:rsid w:val="00346025"/>
    <w:rsid w:val="003504D9"/>
    <w:rsid w:val="003658E4"/>
    <w:rsid w:val="0037781E"/>
    <w:rsid w:val="003B6CFE"/>
    <w:rsid w:val="003B75C6"/>
    <w:rsid w:val="003C1682"/>
    <w:rsid w:val="003C38B0"/>
    <w:rsid w:val="003D0727"/>
    <w:rsid w:val="003D172B"/>
    <w:rsid w:val="003D37DF"/>
    <w:rsid w:val="003E02EF"/>
    <w:rsid w:val="003E0A2C"/>
    <w:rsid w:val="00407618"/>
    <w:rsid w:val="00423458"/>
    <w:rsid w:val="00437B51"/>
    <w:rsid w:val="00450691"/>
    <w:rsid w:val="00455ED0"/>
    <w:rsid w:val="00473E1B"/>
    <w:rsid w:val="00484AB5"/>
    <w:rsid w:val="004A0C4D"/>
    <w:rsid w:val="004B4364"/>
    <w:rsid w:val="004B75BF"/>
    <w:rsid w:val="004C635C"/>
    <w:rsid w:val="004F3F7F"/>
    <w:rsid w:val="00507850"/>
    <w:rsid w:val="00510144"/>
    <w:rsid w:val="005152BC"/>
    <w:rsid w:val="005211A8"/>
    <w:rsid w:val="005248C0"/>
    <w:rsid w:val="00527C5E"/>
    <w:rsid w:val="0053213F"/>
    <w:rsid w:val="005767B1"/>
    <w:rsid w:val="00591CED"/>
    <w:rsid w:val="0059345C"/>
    <w:rsid w:val="005A0FA0"/>
    <w:rsid w:val="005E074B"/>
    <w:rsid w:val="005E4A10"/>
    <w:rsid w:val="005E4BE9"/>
    <w:rsid w:val="006108E0"/>
    <w:rsid w:val="006153AD"/>
    <w:rsid w:val="006237E1"/>
    <w:rsid w:val="006306C6"/>
    <w:rsid w:val="00633981"/>
    <w:rsid w:val="0064616A"/>
    <w:rsid w:val="00655E73"/>
    <w:rsid w:val="0068276C"/>
    <w:rsid w:val="00690A1E"/>
    <w:rsid w:val="00690B16"/>
    <w:rsid w:val="006A2C35"/>
    <w:rsid w:val="006A79B7"/>
    <w:rsid w:val="006B62BF"/>
    <w:rsid w:val="006B79BA"/>
    <w:rsid w:val="006D4590"/>
    <w:rsid w:val="006E21BC"/>
    <w:rsid w:val="006F2F29"/>
    <w:rsid w:val="006F55BA"/>
    <w:rsid w:val="00742819"/>
    <w:rsid w:val="007501D5"/>
    <w:rsid w:val="00756E4D"/>
    <w:rsid w:val="00767EDB"/>
    <w:rsid w:val="00775266"/>
    <w:rsid w:val="00775D61"/>
    <w:rsid w:val="00782E12"/>
    <w:rsid w:val="007A07F9"/>
    <w:rsid w:val="007C6015"/>
    <w:rsid w:val="007C6061"/>
    <w:rsid w:val="007C7C1F"/>
    <w:rsid w:val="007D3AB9"/>
    <w:rsid w:val="007F26A0"/>
    <w:rsid w:val="008011FC"/>
    <w:rsid w:val="008113FB"/>
    <w:rsid w:val="0081398F"/>
    <w:rsid w:val="00815B8D"/>
    <w:rsid w:val="00831A2A"/>
    <w:rsid w:val="00835709"/>
    <w:rsid w:val="00835A9B"/>
    <w:rsid w:val="0085389A"/>
    <w:rsid w:val="008606B2"/>
    <w:rsid w:val="00862870"/>
    <w:rsid w:val="008671AC"/>
    <w:rsid w:val="00870A74"/>
    <w:rsid w:val="00881A0E"/>
    <w:rsid w:val="00882F35"/>
    <w:rsid w:val="00894CA7"/>
    <w:rsid w:val="008B72DC"/>
    <w:rsid w:val="008D17FE"/>
    <w:rsid w:val="008D2DE8"/>
    <w:rsid w:val="008E1B4B"/>
    <w:rsid w:val="00906928"/>
    <w:rsid w:val="00913832"/>
    <w:rsid w:val="009413A0"/>
    <w:rsid w:val="0096274B"/>
    <w:rsid w:val="0099062C"/>
    <w:rsid w:val="00990CA7"/>
    <w:rsid w:val="009A1356"/>
    <w:rsid w:val="009A24CC"/>
    <w:rsid w:val="009A2528"/>
    <w:rsid w:val="009B4C29"/>
    <w:rsid w:val="009B6652"/>
    <w:rsid w:val="009C26FA"/>
    <w:rsid w:val="009D0CB1"/>
    <w:rsid w:val="009D0F7E"/>
    <w:rsid w:val="009E4ABC"/>
    <w:rsid w:val="009E6601"/>
    <w:rsid w:val="009F514A"/>
    <w:rsid w:val="009F777F"/>
    <w:rsid w:val="00A06591"/>
    <w:rsid w:val="00A45BC2"/>
    <w:rsid w:val="00A63116"/>
    <w:rsid w:val="00A709F2"/>
    <w:rsid w:val="00A80757"/>
    <w:rsid w:val="00AA276C"/>
    <w:rsid w:val="00AA6F80"/>
    <w:rsid w:val="00AC70AA"/>
    <w:rsid w:val="00AF6E6C"/>
    <w:rsid w:val="00B11315"/>
    <w:rsid w:val="00B34E7E"/>
    <w:rsid w:val="00B3715B"/>
    <w:rsid w:val="00B44A89"/>
    <w:rsid w:val="00B54422"/>
    <w:rsid w:val="00B609C1"/>
    <w:rsid w:val="00B60A95"/>
    <w:rsid w:val="00B67913"/>
    <w:rsid w:val="00B825B5"/>
    <w:rsid w:val="00B84E79"/>
    <w:rsid w:val="00B87064"/>
    <w:rsid w:val="00B92CF2"/>
    <w:rsid w:val="00BA4563"/>
    <w:rsid w:val="00BA4CC1"/>
    <w:rsid w:val="00BB1B02"/>
    <w:rsid w:val="00BB4EBF"/>
    <w:rsid w:val="00BF1E93"/>
    <w:rsid w:val="00BF61C4"/>
    <w:rsid w:val="00C04C59"/>
    <w:rsid w:val="00C115E8"/>
    <w:rsid w:val="00C120E4"/>
    <w:rsid w:val="00C13915"/>
    <w:rsid w:val="00C14854"/>
    <w:rsid w:val="00C243F5"/>
    <w:rsid w:val="00C27499"/>
    <w:rsid w:val="00C52FE9"/>
    <w:rsid w:val="00C604D1"/>
    <w:rsid w:val="00C622F5"/>
    <w:rsid w:val="00C65A12"/>
    <w:rsid w:val="00C75FCB"/>
    <w:rsid w:val="00CA74CC"/>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C738A"/>
    <w:rsid w:val="00DE255E"/>
    <w:rsid w:val="00DF0DCC"/>
    <w:rsid w:val="00E062C2"/>
    <w:rsid w:val="00E1444F"/>
    <w:rsid w:val="00E22484"/>
    <w:rsid w:val="00E3383D"/>
    <w:rsid w:val="00E34C6C"/>
    <w:rsid w:val="00E53948"/>
    <w:rsid w:val="00E60C82"/>
    <w:rsid w:val="00E63877"/>
    <w:rsid w:val="00E70FCD"/>
    <w:rsid w:val="00E83074"/>
    <w:rsid w:val="00E953E3"/>
    <w:rsid w:val="00E956A1"/>
    <w:rsid w:val="00EB733F"/>
    <w:rsid w:val="00EC18FB"/>
    <w:rsid w:val="00EF69E1"/>
    <w:rsid w:val="00F177BA"/>
    <w:rsid w:val="00F4158B"/>
    <w:rsid w:val="00F63721"/>
    <w:rsid w:val="00F7162E"/>
    <w:rsid w:val="00F7483E"/>
    <w:rsid w:val="00F83DCE"/>
    <w:rsid w:val="00F90784"/>
    <w:rsid w:val="00F9444D"/>
    <w:rsid w:val="00F94DE7"/>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6E6C"/>
    <w:rPr>
      <w:sz w:val="16"/>
      <w:szCs w:val="16"/>
    </w:rPr>
  </w:style>
  <w:style w:type="paragraph" w:styleId="CommentText">
    <w:name w:val="annotation text"/>
    <w:basedOn w:val="Normal"/>
    <w:link w:val="CommentTextChar"/>
    <w:uiPriority w:val="99"/>
    <w:semiHidden/>
    <w:unhideWhenUsed/>
    <w:rsid w:val="00AF6E6C"/>
    <w:rPr>
      <w:sz w:val="20"/>
      <w:szCs w:val="20"/>
    </w:rPr>
  </w:style>
  <w:style w:type="character" w:customStyle="1" w:styleId="CommentTextChar">
    <w:name w:val="Comment Text Char"/>
    <w:basedOn w:val="DefaultParagraphFont"/>
    <w:link w:val="CommentText"/>
    <w:uiPriority w:val="99"/>
    <w:semiHidden/>
    <w:rsid w:val="00AF6E6C"/>
    <w:rPr>
      <w:sz w:val="20"/>
      <w:szCs w:val="20"/>
    </w:rPr>
  </w:style>
  <w:style w:type="paragraph" w:styleId="CommentSubject">
    <w:name w:val="annotation subject"/>
    <w:basedOn w:val="CommentText"/>
    <w:next w:val="CommentText"/>
    <w:link w:val="CommentSubjectChar"/>
    <w:uiPriority w:val="99"/>
    <w:semiHidden/>
    <w:unhideWhenUsed/>
    <w:rsid w:val="00AF6E6C"/>
    <w:rPr>
      <w:b/>
      <w:bCs/>
    </w:rPr>
  </w:style>
  <w:style w:type="character" w:customStyle="1" w:styleId="CommentSubjectChar">
    <w:name w:val="Comment Subject Char"/>
    <w:basedOn w:val="CommentTextChar"/>
    <w:link w:val="CommentSubject"/>
    <w:uiPriority w:val="99"/>
    <w:semiHidden/>
    <w:rsid w:val="00AF6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512182810">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F9AE2-4AF7-46F7-B192-8A8A484E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2049</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2</cp:revision>
  <cp:lastPrinted>2017-05-07T18:06:00Z</cp:lastPrinted>
  <dcterms:created xsi:type="dcterms:W3CDTF">2021-03-18T21:24:00Z</dcterms:created>
  <dcterms:modified xsi:type="dcterms:W3CDTF">2021-03-18T21:24:00Z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